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before="100" w:beforeAutospacing="1" w:after="100" w:afterAutospacing="1" w:line="520" w:lineRule="atLeast"/>
        <w:rPr>
          <w:rFonts w:hint="eastAsia" w:ascii="仿宋_GB2312" w:hAnsi="宋体" w:eastAsia="仿宋_GB2312"/>
          <w:color w:val="000000"/>
          <w:sz w:val="32"/>
          <w:szCs w:val="32"/>
        </w:rPr>
      </w:pPr>
      <w:r>
        <w:rPr>
          <w:rFonts w:hint="eastAsia" w:ascii="仿宋_GB2312" w:hAnsi="宋体" w:eastAsia="仿宋_GB2312"/>
          <w:color w:val="000000"/>
          <w:sz w:val="24"/>
          <w:szCs w:val="24"/>
        </w:rPr>
        <w:t>附件：</w:t>
      </w:r>
    </w:p>
    <w:p>
      <w:pPr>
        <w:widowControl/>
        <w:spacing w:line="600" w:lineRule="exact"/>
        <w:jc w:val="center"/>
        <w:rPr>
          <w:rFonts w:hint="eastAsia" w:ascii="华文中宋" w:hAnsi="华文中宋" w:eastAsia="华文中宋" w:cs="宋体"/>
          <w:bCs/>
          <w:color w:val="000000"/>
          <w:kern w:val="0"/>
          <w:sz w:val="36"/>
          <w:szCs w:val="36"/>
        </w:rPr>
      </w:pPr>
      <w:r>
        <w:rPr>
          <w:rFonts w:hint="eastAsia" w:ascii="华文中宋" w:hAnsi="华文中宋" w:eastAsia="华文中宋" w:cs="宋体"/>
          <w:bCs/>
          <w:color w:val="000000"/>
          <w:kern w:val="0"/>
          <w:sz w:val="36"/>
          <w:szCs w:val="36"/>
        </w:rPr>
        <w:t>西北师范大学全面推进廉政风险防控工作实施方案</w:t>
      </w:r>
    </w:p>
    <w:p>
      <w:pPr>
        <w:jc w:val="center"/>
        <w:rPr>
          <w:rFonts w:hint="eastAsia" w:ascii="华文中宋" w:hAnsi="华文中宋" w:eastAsia="华文中宋"/>
          <w:b/>
          <w:color w:val="000000"/>
          <w:sz w:val="32"/>
          <w:szCs w:val="32"/>
        </w:rPr>
      </w:pP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为全面推进学校廉政风险防控管理，进一步细化工作内容和工作流程，按照《西北师范大学全面推进廉政风险防控工作实施意见》的总体要求，结合学校实际，特制定本实施方案。</w:t>
      </w:r>
    </w:p>
    <w:p>
      <w:pPr>
        <w:widowControl/>
        <w:shd w:val="clear" w:color="auto" w:fill="FFFFFF"/>
        <w:spacing w:line="480" w:lineRule="exact"/>
        <w:ind w:firstLine="480" w:firstLineChars="200"/>
        <w:rPr>
          <w:rFonts w:ascii="黑体" w:hAnsi="黑体" w:eastAsia="黑体"/>
          <w:bCs/>
          <w:color w:val="000000"/>
          <w:sz w:val="24"/>
        </w:rPr>
      </w:pPr>
      <w:r>
        <w:rPr>
          <w:rFonts w:hint="eastAsia" w:ascii="黑体" w:hAnsi="黑体" w:eastAsia="黑体"/>
          <w:bCs/>
          <w:color w:val="000000"/>
          <w:sz w:val="24"/>
        </w:rPr>
        <w:t>一</w:t>
      </w:r>
      <w:r>
        <w:rPr>
          <w:rFonts w:ascii="黑体" w:hAnsi="黑体" w:eastAsia="黑体"/>
          <w:bCs/>
          <w:color w:val="000000"/>
          <w:sz w:val="24"/>
        </w:rPr>
        <w:t>、组织领导</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为保证我校廉政风险防控管理工作组织有力、实施有效，成立学校全面推进</w:t>
      </w:r>
      <w:r>
        <w:rPr>
          <w:rFonts w:ascii="宋体" w:hAnsi="宋体"/>
          <w:color w:val="000000"/>
          <w:sz w:val="24"/>
        </w:rPr>
        <w:t>廉政风险防控</w:t>
      </w:r>
      <w:r>
        <w:rPr>
          <w:rFonts w:hint="eastAsia" w:ascii="宋体" w:hAnsi="宋体"/>
          <w:color w:val="000000"/>
          <w:sz w:val="24"/>
        </w:rPr>
        <w:t>管理</w:t>
      </w:r>
      <w:r>
        <w:rPr>
          <w:rFonts w:ascii="宋体" w:hAnsi="宋体"/>
          <w:color w:val="000000"/>
          <w:sz w:val="24"/>
        </w:rPr>
        <w:t>领导小组（以下简称领导小组），全面负责</w:t>
      </w:r>
      <w:r>
        <w:rPr>
          <w:rFonts w:hint="eastAsia" w:ascii="宋体" w:hAnsi="宋体"/>
          <w:color w:val="000000"/>
          <w:sz w:val="24"/>
        </w:rPr>
        <w:t>学校</w:t>
      </w:r>
      <w:r>
        <w:rPr>
          <w:rFonts w:ascii="宋体" w:hAnsi="宋体"/>
          <w:color w:val="000000"/>
          <w:sz w:val="24"/>
        </w:rPr>
        <w:t>廉政风险防控</w:t>
      </w:r>
      <w:r>
        <w:rPr>
          <w:rFonts w:hint="eastAsia" w:ascii="宋体" w:hAnsi="宋体"/>
          <w:color w:val="000000"/>
          <w:sz w:val="24"/>
        </w:rPr>
        <w:t>管理</w:t>
      </w:r>
      <w:r>
        <w:rPr>
          <w:rFonts w:ascii="宋体" w:hAnsi="宋体"/>
          <w:color w:val="000000"/>
          <w:sz w:val="24"/>
        </w:rPr>
        <w:t>的组织、</w:t>
      </w:r>
      <w:r>
        <w:rPr>
          <w:rFonts w:hint="eastAsia" w:ascii="宋体" w:hAnsi="宋体"/>
          <w:color w:val="000000"/>
          <w:sz w:val="24"/>
        </w:rPr>
        <w:t>领导、</w:t>
      </w:r>
      <w:r>
        <w:rPr>
          <w:rFonts w:ascii="宋体" w:hAnsi="宋体"/>
          <w:color w:val="000000"/>
          <w:sz w:val="24"/>
        </w:rPr>
        <w:t>协调和整体推进。</w:t>
      </w:r>
      <w:r>
        <w:rPr>
          <w:rFonts w:hint="eastAsia" w:ascii="宋体" w:hAnsi="宋体"/>
          <w:color w:val="000000"/>
          <w:sz w:val="24"/>
        </w:rPr>
        <w:t xml:space="preserve">领导小组组成如下： </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组  长：党委书记</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副组长：校长</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纪委书记</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成  员：学校办公室、纪委（监察处）、组织部、宣传部、人事处、学生工作部（处）、研究生院、教务处、</w:t>
      </w:r>
      <w:r>
        <w:rPr>
          <w:rFonts w:ascii="宋体" w:hAnsi="宋体"/>
          <w:color w:val="000000"/>
          <w:sz w:val="24"/>
        </w:rPr>
        <w:t>科</w:t>
      </w:r>
      <w:r>
        <w:rPr>
          <w:rFonts w:hint="eastAsia" w:ascii="宋体" w:hAnsi="宋体"/>
          <w:color w:val="000000"/>
          <w:sz w:val="24"/>
        </w:rPr>
        <w:t>学</w:t>
      </w:r>
      <w:r>
        <w:rPr>
          <w:rFonts w:ascii="宋体" w:hAnsi="宋体"/>
          <w:color w:val="000000"/>
          <w:sz w:val="24"/>
        </w:rPr>
        <w:t>技</w:t>
      </w:r>
      <w:r>
        <w:rPr>
          <w:rFonts w:hint="eastAsia" w:ascii="宋体" w:hAnsi="宋体"/>
          <w:color w:val="000000"/>
          <w:sz w:val="24"/>
        </w:rPr>
        <w:t>术</w:t>
      </w:r>
      <w:r>
        <w:rPr>
          <w:rFonts w:ascii="宋体" w:hAnsi="宋体"/>
          <w:color w:val="000000"/>
          <w:sz w:val="24"/>
        </w:rPr>
        <w:t>处</w:t>
      </w:r>
      <w:r>
        <w:rPr>
          <w:rFonts w:hint="eastAsia" w:ascii="宋体" w:hAnsi="宋体"/>
          <w:color w:val="000000"/>
          <w:sz w:val="24"/>
        </w:rPr>
        <w:t>、社会科学</w:t>
      </w:r>
      <w:r>
        <w:rPr>
          <w:rFonts w:ascii="宋体" w:hAnsi="宋体"/>
          <w:color w:val="000000"/>
          <w:sz w:val="24"/>
        </w:rPr>
        <w:t>处</w:t>
      </w:r>
      <w:r>
        <w:rPr>
          <w:rFonts w:hint="eastAsia" w:ascii="宋体" w:hAnsi="宋体"/>
          <w:color w:val="000000"/>
          <w:sz w:val="24"/>
        </w:rPr>
        <w:t>、财务处、审计处、实验室与</w:t>
      </w:r>
      <w:r>
        <w:rPr>
          <w:rFonts w:ascii="宋体" w:hAnsi="宋体"/>
          <w:color w:val="000000"/>
          <w:sz w:val="24"/>
        </w:rPr>
        <w:t>设备</w:t>
      </w:r>
      <w:r>
        <w:rPr>
          <w:rFonts w:hint="eastAsia" w:ascii="宋体" w:hAnsi="宋体"/>
          <w:color w:val="000000"/>
          <w:sz w:val="24"/>
        </w:rPr>
        <w:t>管理</w:t>
      </w:r>
      <w:r>
        <w:rPr>
          <w:rFonts w:ascii="宋体" w:hAnsi="宋体"/>
          <w:color w:val="000000"/>
          <w:sz w:val="24"/>
        </w:rPr>
        <w:t>处</w:t>
      </w:r>
      <w:r>
        <w:rPr>
          <w:rFonts w:hint="eastAsia" w:ascii="宋体" w:hAnsi="宋体"/>
          <w:color w:val="000000"/>
          <w:sz w:val="24"/>
        </w:rPr>
        <w:t>、基建处、</w:t>
      </w:r>
      <w:r>
        <w:rPr>
          <w:rFonts w:ascii="宋体" w:hAnsi="宋体"/>
          <w:color w:val="000000"/>
          <w:sz w:val="24"/>
        </w:rPr>
        <w:t>后勤</w:t>
      </w:r>
      <w:r>
        <w:rPr>
          <w:rFonts w:hint="eastAsia" w:ascii="宋体" w:hAnsi="宋体"/>
          <w:color w:val="000000"/>
          <w:sz w:val="24"/>
        </w:rPr>
        <w:t>管理</w:t>
      </w:r>
      <w:r>
        <w:rPr>
          <w:rFonts w:ascii="宋体" w:hAnsi="宋体"/>
          <w:color w:val="000000"/>
          <w:sz w:val="24"/>
        </w:rPr>
        <w:t>处</w:t>
      </w:r>
      <w:r>
        <w:rPr>
          <w:rFonts w:hint="eastAsia" w:ascii="宋体" w:hAnsi="宋体"/>
          <w:color w:val="000000"/>
          <w:sz w:val="24"/>
        </w:rPr>
        <w:t>、国有资产管理</w:t>
      </w:r>
      <w:r>
        <w:rPr>
          <w:rFonts w:ascii="宋体" w:hAnsi="宋体"/>
          <w:color w:val="000000"/>
          <w:sz w:val="24"/>
        </w:rPr>
        <w:t>处</w:t>
      </w:r>
      <w:r>
        <w:rPr>
          <w:rFonts w:hint="eastAsia" w:ascii="宋体" w:hAnsi="宋体"/>
          <w:color w:val="000000"/>
          <w:sz w:val="24"/>
        </w:rPr>
        <w:t>、科教服务中心</w:t>
      </w:r>
      <w:r>
        <w:rPr>
          <w:rFonts w:hint="eastAsia" w:ascii="宋体" w:hAnsi="宋体"/>
          <w:color w:val="000000"/>
          <w:w w:val="90"/>
          <w:sz w:val="24"/>
        </w:rPr>
        <w:t>(政府采购办公室)</w:t>
      </w:r>
      <w:r>
        <w:rPr>
          <w:rFonts w:hint="eastAsia" w:ascii="宋体" w:hAnsi="宋体"/>
          <w:color w:val="000000"/>
          <w:sz w:val="24"/>
        </w:rPr>
        <w:t>、招生考试中心、</w:t>
      </w:r>
      <w:r>
        <w:rPr>
          <w:rFonts w:ascii="宋体" w:hAnsi="宋体"/>
          <w:color w:val="000000"/>
          <w:sz w:val="24"/>
        </w:rPr>
        <w:t>后勤集团</w:t>
      </w:r>
      <w:r>
        <w:rPr>
          <w:rFonts w:hint="eastAsia" w:ascii="宋体" w:hAnsi="宋体"/>
          <w:color w:val="000000"/>
          <w:sz w:val="24"/>
        </w:rPr>
        <w:t>、附属教育集团等部门主要负责人。</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领导小组下设办公室，办公室主任由纪委副书记兼任。</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各单位成立</w:t>
      </w:r>
      <w:r>
        <w:rPr>
          <w:rFonts w:hint="eastAsia" w:ascii="宋体" w:hAnsi="宋体"/>
          <w:color w:val="000000"/>
          <w:sz w:val="24"/>
        </w:rPr>
        <w:t>由</w:t>
      </w:r>
      <w:r>
        <w:rPr>
          <w:rFonts w:ascii="宋体" w:hAnsi="宋体"/>
          <w:color w:val="000000"/>
          <w:sz w:val="24"/>
        </w:rPr>
        <w:t>党政主要负责人任组长</w:t>
      </w:r>
      <w:r>
        <w:rPr>
          <w:rFonts w:hint="eastAsia" w:ascii="宋体" w:hAnsi="宋体"/>
          <w:color w:val="000000"/>
          <w:sz w:val="24"/>
        </w:rPr>
        <w:t>的</w:t>
      </w:r>
      <w:r>
        <w:rPr>
          <w:rFonts w:ascii="宋体" w:hAnsi="宋体"/>
          <w:color w:val="000000"/>
          <w:sz w:val="24"/>
        </w:rPr>
        <w:t>廉政风险防控</w:t>
      </w:r>
      <w:r>
        <w:rPr>
          <w:rFonts w:hint="eastAsia" w:ascii="宋体" w:hAnsi="宋体"/>
          <w:color w:val="000000"/>
          <w:sz w:val="24"/>
        </w:rPr>
        <w:t>管理工作</w:t>
      </w:r>
      <w:r>
        <w:rPr>
          <w:rFonts w:ascii="宋体" w:hAnsi="宋体"/>
          <w:color w:val="000000"/>
          <w:sz w:val="24"/>
        </w:rPr>
        <w:t>小组（以下简称工作小组），负责本单位</w:t>
      </w:r>
      <w:r>
        <w:rPr>
          <w:rFonts w:hint="eastAsia" w:ascii="宋体" w:hAnsi="宋体"/>
          <w:color w:val="000000"/>
          <w:sz w:val="24"/>
        </w:rPr>
        <w:t>实施</w:t>
      </w:r>
      <w:r>
        <w:rPr>
          <w:rFonts w:ascii="宋体" w:hAnsi="宋体"/>
          <w:color w:val="000000"/>
          <w:sz w:val="24"/>
        </w:rPr>
        <w:t>廉政风险防控</w:t>
      </w:r>
      <w:r>
        <w:rPr>
          <w:rFonts w:hint="eastAsia" w:ascii="宋体" w:hAnsi="宋体"/>
          <w:color w:val="000000"/>
          <w:sz w:val="24"/>
        </w:rPr>
        <w:t>管理</w:t>
      </w:r>
      <w:r>
        <w:rPr>
          <w:rFonts w:ascii="宋体" w:hAnsi="宋体"/>
          <w:color w:val="000000"/>
          <w:sz w:val="24"/>
        </w:rPr>
        <w:t>的</w:t>
      </w:r>
      <w:r>
        <w:rPr>
          <w:rFonts w:hint="eastAsia" w:ascii="宋体" w:hAnsi="宋体"/>
          <w:color w:val="000000"/>
          <w:sz w:val="24"/>
        </w:rPr>
        <w:t>组织</w:t>
      </w:r>
      <w:r>
        <w:rPr>
          <w:rFonts w:ascii="宋体" w:hAnsi="宋体"/>
          <w:color w:val="000000"/>
          <w:sz w:val="24"/>
        </w:rPr>
        <w:t>动员和工作</w:t>
      </w:r>
      <w:r>
        <w:rPr>
          <w:rFonts w:hint="eastAsia" w:ascii="宋体" w:hAnsi="宋体"/>
          <w:color w:val="000000"/>
          <w:sz w:val="24"/>
        </w:rPr>
        <w:t>开展</w:t>
      </w:r>
      <w:r>
        <w:rPr>
          <w:rFonts w:ascii="宋体" w:hAnsi="宋体"/>
          <w:color w:val="000000"/>
          <w:sz w:val="24"/>
        </w:rPr>
        <w:t>，</w:t>
      </w:r>
      <w:r>
        <w:rPr>
          <w:rFonts w:hint="eastAsia" w:ascii="宋体" w:hAnsi="宋体"/>
          <w:color w:val="000000"/>
          <w:sz w:val="24"/>
        </w:rPr>
        <w:t>并</w:t>
      </w:r>
      <w:r>
        <w:rPr>
          <w:rFonts w:ascii="宋体" w:hAnsi="宋体"/>
          <w:color w:val="000000"/>
          <w:sz w:val="24"/>
        </w:rPr>
        <w:t>指定专人负责与学校领导小组的联系，确保工作的整体推进。</w:t>
      </w:r>
    </w:p>
    <w:p>
      <w:pPr>
        <w:widowControl/>
        <w:shd w:val="clear" w:color="auto" w:fill="FFFFFF"/>
        <w:spacing w:line="480" w:lineRule="exact"/>
        <w:ind w:firstLine="480" w:firstLineChars="200"/>
        <w:rPr>
          <w:rFonts w:ascii="黑体" w:hAnsi="黑体" w:eastAsia="黑体"/>
          <w:bCs/>
          <w:color w:val="000000"/>
          <w:sz w:val="24"/>
        </w:rPr>
      </w:pPr>
      <w:r>
        <w:rPr>
          <w:rFonts w:hint="eastAsia" w:ascii="黑体" w:hAnsi="黑体" w:eastAsia="黑体"/>
          <w:bCs/>
          <w:color w:val="000000"/>
          <w:sz w:val="24"/>
        </w:rPr>
        <w:t>二</w:t>
      </w:r>
      <w:r>
        <w:rPr>
          <w:rFonts w:ascii="黑体" w:hAnsi="黑体" w:eastAsia="黑体"/>
          <w:bCs/>
          <w:color w:val="000000"/>
          <w:sz w:val="24"/>
        </w:rPr>
        <w:t>、工作内容和方法步骤</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校内</w:t>
      </w:r>
      <w:r>
        <w:rPr>
          <w:rFonts w:ascii="宋体" w:hAnsi="宋体"/>
          <w:color w:val="000000"/>
          <w:sz w:val="24"/>
        </w:rPr>
        <w:t>各单位要按照学校的统一安排和部署，结合</w:t>
      </w:r>
      <w:r>
        <w:rPr>
          <w:rFonts w:hint="eastAsia" w:ascii="宋体" w:hAnsi="宋体"/>
          <w:color w:val="000000"/>
          <w:sz w:val="24"/>
        </w:rPr>
        <w:t>自身</w:t>
      </w:r>
      <w:r>
        <w:rPr>
          <w:rFonts w:ascii="宋体" w:hAnsi="宋体"/>
          <w:color w:val="000000"/>
          <w:sz w:val="24"/>
        </w:rPr>
        <w:t>实际，以本</w:t>
      </w:r>
      <w:r>
        <w:rPr>
          <w:rFonts w:hint="eastAsia" w:ascii="宋体" w:hAnsi="宋体"/>
          <w:color w:val="000000"/>
          <w:sz w:val="24"/>
        </w:rPr>
        <w:t>实施</w:t>
      </w:r>
      <w:r>
        <w:rPr>
          <w:rFonts w:ascii="宋体" w:hAnsi="宋体"/>
          <w:color w:val="000000"/>
          <w:sz w:val="24"/>
        </w:rPr>
        <w:t>方案为指导，运用现代管理理念和科学管理方法，立足规范自身管理，以工作流程为线，以工作环节为点，认真查找每一个工作环节可能发生</w:t>
      </w:r>
      <w:r>
        <w:rPr>
          <w:rFonts w:hint="eastAsia" w:ascii="宋体" w:hAnsi="宋体"/>
          <w:color w:val="000000"/>
          <w:sz w:val="24"/>
        </w:rPr>
        <w:t>腐败</w:t>
      </w:r>
      <w:r>
        <w:rPr>
          <w:rFonts w:ascii="宋体" w:hAnsi="宋体"/>
          <w:color w:val="000000"/>
          <w:sz w:val="24"/>
        </w:rPr>
        <w:t>行为的风险点；针对查找出的风险点，通过制定方案、贯彻执行、检查考核、调整修正等环节，提前预防可能发生的</w:t>
      </w:r>
      <w:r>
        <w:rPr>
          <w:rFonts w:hint="eastAsia" w:ascii="宋体" w:hAnsi="宋体"/>
          <w:color w:val="000000"/>
          <w:sz w:val="24"/>
        </w:rPr>
        <w:t>廉政</w:t>
      </w:r>
      <w:r>
        <w:rPr>
          <w:rFonts w:ascii="宋体" w:hAnsi="宋体"/>
          <w:color w:val="000000"/>
          <w:sz w:val="24"/>
        </w:rPr>
        <w:t>风险，建立并逐步完善防控和纠偏的预防机制。</w:t>
      </w:r>
      <w:r>
        <w:rPr>
          <w:rFonts w:hint="eastAsia" w:ascii="宋体" w:hAnsi="宋体"/>
          <w:color w:val="000000"/>
          <w:sz w:val="24"/>
        </w:rPr>
        <w:t>人员</w:t>
      </w:r>
      <w:r>
        <w:rPr>
          <w:rFonts w:ascii="宋体" w:hAnsi="宋体"/>
          <w:color w:val="000000"/>
          <w:sz w:val="24"/>
        </w:rPr>
        <w:t>范围为，全校副科级以上干部</w:t>
      </w:r>
      <w:r>
        <w:rPr>
          <w:rFonts w:hint="eastAsia" w:ascii="宋体" w:hAnsi="宋体"/>
          <w:color w:val="000000"/>
          <w:sz w:val="24"/>
        </w:rPr>
        <w:t>（含民主党派和非中共党员干部）</w:t>
      </w:r>
      <w:r>
        <w:rPr>
          <w:rFonts w:ascii="宋体" w:hAnsi="宋体"/>
          <w:color w:val="000000"/>
          <w:sz w:val="24"/>
        </w:rPr>
        <w:t>、</w:t>
      </w:r>
      <w:r>
        <w:rPr>
          <w:rFonts w:hint="eastAsia" w:ascii="宋体" w:hAnsi="宋体"/>
          <w:color w:val="000000"/>
          <w:sz w:val="24"/>
        </w:rPr>
        <w:t>机关各部门、直（附）属及后勤单位</w:t>
      </w:r>
      <w:r>
        <w:rPr>
          <w:rFonts w:ascii="宋体" w:hAnsi="宋体"/>
          <w:color w:val="000000"/>
          <w:sz w:val="24"/>
        </w:rPr>
        <w:t>的全体干部、</w:t>
      </w:r>
      <w:r>
        <w:rPr>
          <w:rFonts w:hint="eastAsia" w:ascii="宋体" w:hAnsi="宋体"/>
          <w:color w:val="000000"/>
          <w:sz w:val="24"/>
        </w:rPr>
        <w:t>党员</w:t>
      </w:r>
      <w:r>
        <w:rPr>
          <w:rFonts w:ascii="宋体" w:hAnsi="宋体"/>
          <w:color w:val="000000"/>
          <w:sz w:val="24"/>
        </w:rPr>
        <w:t>。</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廉政风险防控</w:t>
      </w:r>
      <w:r>
        <w:rPr>
          <w:rFonts w:hint="eastAsia" w:ascii="宋体" w:hAnsi="宋体"/>
          <w:color w:val="000000"/>
          <w:sz w:val="24"/>
        </w:rPr>
        <w:t>管理</w:t>
      </w:r>
      <w:r>
        <w:rPr>
          <w:rFonts w:ascii="宋体" w:hAnsi="宋体"/>
          <w:color w:val="000000"/>
          <w:sz w:val="24"/>
        </w:rPr>
        <w:t>工作分四个阶段进行：</w:t>
      </w:r>
    </w:p>
    <w:p>
      <w:pPr>
        <w:widowControl/>
        <w:shd w:val="clear" w:color="auto" w:fill="FFFFFF"/>
        <w:spacing w:line="480" w:lineRule="exact"/>
        <w:ind w:firstLine="482" w:firstLineChars="200"/>
        <w:rPr>
          <w:rFonts w:hint="eastAsia" w:ascii="楷体_GB2312" w:hAnsi="宋体" w:eastAsia="楷体_GB2312"/>
          <w:b/>
          <w:color w:val="000000"/>
          <w:sz w:val="24"/>
        </w:rPr>
      </w:pPr>
      <w:r>
        <w:rPr>
          <w:rFonts w:hint="eastAsia" w:ascii="楷体_GB2312" w:hAnsi="宋体" w:eastAsia="楷体_GB2312"/>
          <w:b/>
          <w:color w:val="000000"/>
          <w:sz w:val="24"/>
        </w:rPr>
        <w:t>（一）工作启动阶段(2012年12月底前完成)</w:t>
      </w:r>
    </w:p>
    <w:p>
      <w:pPr>
        <w:widowControl/>
        <w:shd w:val="clear" w:color="auto" w:fill="FFFFFF"/>
        <w:spacing w:line="480" w:lineRule="exact"/>
        <w:ind w:firstLine="480" w:firstLineChars="200"/>
        <w:rPr>
          <w:rFonts w:ascii="宋体" w:hAnsi="宋体"/>
          <w:color w:val="000000"/>
          <w:sz w:val="24"/>
        </w:rPr>
      </w:pPr>
      <w:r>
        <w:rPr>
          <w:rFonts w:hint="eastAsia" w:ascii="宋体" w:hAnsi="宋体"/>
          <w:color w:val="000000"/>
          <w:sz w:val="24"/>
        </w:rPr>
        <w:t>校内</w:t>
      </w:r>
      <w:r>
        <w:rPr>
          <w:rFonts w:ascii="宋体" w:hAnsi="宋体"/>
          <w:color w:val="000000"/>
          <w:sz w:val="24"/>
        </w:rPr>
        <w:t>各单位成立工作小组并向学校领导小组办公室报送本单位工作小组名单、联系人及联系方式；利用多种方式广泛学习、宣传，统一思想</w:t>
      </w:r>
      <w:r>
        <w:rPr>
          <w:rFonts w:hint="eastAsia" w:ascii="宋体" w:hAnsi="宋体"/>
          <w:color w:val="000000"/>
          <w:sz w:val="24"/>
        </w:rPr>
        <w:t>，</w:t>
      </w:r>
      <w:r>
        <w:rPr>
          <w:rFonts w:ascii="宋体" w:hAnsi="宋体"/>
          <w:color w:val="000000"/>
          <w:sz w:val="24"/>
        </w:rPr>
        <w:t>提高认识；召开会议，集中动员，强化干部、党员、教职员工的岗位责任意识和廉政风险意识，明确防控</w:t>
      </w:r>
      <w:r>
        <w:rPr>
          <w:rFonts w:hint="eastAsia" w:ascii="宋体" w:hAnsi="宋体"/>
          <w:color w:val="000000"/>
          <w:sz w:val="24"/>
        </w:rPr>
        <w:t>管理</w:t>
      </w:r>
      <w:r>
        <w:rPr>
          <w:rFonts w:ascii="宋体" w:hAnsi="宋体"/>
          <w:color w:val="000000"/>
          <w:sz w:val="24"/>
        </w:rPr>
        <w:t>的内容和方法步骤，具体安排部署。</w:t>
      </w:r>
    </w:p>
    <w:p>
      <w:pPr>
        <w:widowControl/>
        <w:shd w:val="clear" w:color="auto" w:fill="FFFFFF"/>
        <w:spacing w:line="480" w:lineRule="exact"/>
        <w:ind w:firstLine="482" w:firstLineChars="200"/>
        <w:rPr>
          <w:rFonts w:ascii="楷体_GB2312" w:hAnsi="宋体" w:eastAsia="楷体_GB2312"/>
          <w:b/>
          <w:color w:val="000000"/>
          <w:sz w:val="24"/>
        </w:rPr>
      </w:pPr>
      <w:r>
        <w:rPr>
          <w:rFonts w:ascii="楷体_GB2312" w:hAnsi="宋体" w:eastAsia="楷体_GB2312"/>
          <w:b/>
          <w:color w:val="000000"/>
          <w:sz w:val="24"/>
        </w:rPr>
        <w:t>（二）风险排查、定级阶段(201</w:t>
      </w:r>
      <w:r>
        <w:rPr>
          <w:rFonts w:hint="eastAsia" w:ascii="楷体_GB2312" w:hAnsi="宋体" w:eastAsia="楷体_GB2312"/>
          <w:b/>
          <w:color w:val="000000"/>
          <w:sz w:val="24"/>
        </w:rPr>
        <w:t>3</w:t>
      </w:r>
      <w:r>
        <w:rPr>
          <w:rFonts w:ascii="楷体_GB2312" w:hAnsi="宋体" w:eastAsia="楷体_GB2312"/>
          <w:b/>
          <w:color w:val="000000"/>
          <w:sz w:val="24"/>
        </w:rPr>
        <w:t>年</w:t>
      </w:r>
      <w:r>
        <w:rPr>
          <w:rFonts w:hint="eastAsia" w:ascii="楷体_GB2312" w:hAnsi="宋体" w:eastAsia="楷体_GB2312"/>
          <w:b/>
          <w:color w:val="000000"/>
          <w:sz w:val="24"/>
        </w:rPr>
        <w:t>4</w:t>
      </w:r>
      <w:r>
        <w:rPr>
          <w:rFonts w:ascii="楷体_GB2312" w:hAnsi="宋体" w:eastAsia="楷体_GB2312"/>
          <w:b/>
          <w:color w:val="000000"/>
          <w:sz w:val="24"/>
        </w:rPr>
        <w:t>月</w:t>
      </w:r>
      <w:r>
        <w:rPr>
          <w:rFonts w:hint="eastAsia" w:ascii="楷体_GB2312" w:hAnsi="宋体" w:eastAsia="楷体_GB2312"/>
          <w:b/>
          <w:color w:val="000000"/>
          <w:sz w:val="24"/>
        </w:rPr>
        <w:t>上旬</w:t>
      </w:r>
      <w:r>
        <w:rPr>
          <w:rFonts w:ascii="楷体_GB2312" w:hAnsi="宋体" w:eastAsia="楷体_GB2312"/>
          <w:b/>
          <w:color w:val="000000"/>
          <w:sz w:val="24"/>
        </w:rPr>
        <w:t>前完成)</w:t>
      </w:r>
    </w:p>
    <w:p>
      <w:pPr>
        <w:widowControl/>
        <w:shd w:val="clear" w:color="auto" w:fill="FFFFFF"/>
        <w:spacing w:line="480" w:lineRule="exact"/>
        <w:ind w:firstLine="482" w:firstLineChars="200"/>
        <w:rPr>
          <w:rFonts w:hint="eastAsia" w:ascii="宋体" w:hAnsi="宋体"/>
          <w:color w:val="000000"/>
          <w:sz w:val="24"/>
        </w:rPr>
      </w:pPr>
      <w:r>
        <w:rPr>
          <w:rFonts w:ascii="宋体" w:hAnsi="宋体"/>
          <w:b/>
          <w:color w:val="000000"/>
          <w:sz w:val="24"/>
        </w:rPr>
        <w:t>1.排查廉政风险</w:t>
      </w:r>
      <w:r>
        <w:rPr>
          <w:rFonts w:hint="eastAsia" w:ascii="宋体" w:hAnsi="宋体"/>
          <w:b/>
          <w:color w:val="000000"/>
          <w:sz w:val="24"/>
        </w:rPr>
        <w:t>并确定风险点</w:t>
      </w:r>
      <w:r>
        <w:rPr>
          <w:rFonts w:ascii="宋体" w:hAnsi="宋体"/>
          <w:b/>
          <w:color w:val="000000"/>
          <w:sz w:val="24"/>
        </w:rPr>
        <w:t>。</w:t>
      </w:r>
      <w:r>
        <w:rPr>
          <w:rFonts w:ascii="宋体" w:hAnsi="宋体"/>
          <w:color w:val="000000"/>
          <w:sz w:val="24"/>
        </w:rPr>
        <w:t>一是个人自查。对照岗位职责、执行制度情况，通过自己找、领导提、群众帮、集体定等多种方式，认真分析、查找个人存在或潜在的廉政风险内容</w:t>
      </w:r>
      <w:r>
        <w:rPr>
          <w:rFonts w:hint="eastAsia" w:ascii="宋体" w:hAnsi="宋体"/>
          <w:color w:val="000000"/>
          <w:sz w:val="24"/>
        </w:rPr>
        <w:t>及其风险点。</w:t>
      </w:r>
      <w:r>
        <w:rPr>
          <w:rFonts w:ascii="宋体" w:hAnsi="宋体"/>
          <w:color w:val="000000"/>
          <w:sz w:val="24"/>
        </w:rPr>
        <w:t>二是单位评查。在个人自查的基础上，各单位对照岗位职责，结合工作流程</w:t>
      </w:r>
      <w:r>
        <w:rPr>
          <w:rFonts w:hint="eastAsia" w:ascii="宋体" w:hAnsi="宋体"/>
          <w:color w:val="000000"/>
          <w:sz w:val="24"/>
        </w:rPr>
        <w:t>和单位“职权目录”以及“权力运行流程图”</w:t>
      </w:r>
      <w:r>
        <w:rPr>
          <w:rFonts w:ascii="宋体" w:hAnsi="宋体"/>
          <w:color w:val="000000"/>
          <w:sz w:val="24"/>
        </w:rPr>
        <w:t>，组织干部、党员、教职员工广泛讨论评议，查找本单位</w:t>
      </w:r>
      <w:r>
        <w:rPr>
          <w:rFonts w:hint="eastAsia" w:ascii="宋体" w:hAnsi="宋体"/>
          <w:color w:val="000000"/>
          <w:sz w:val="24"/>
        </w:rPr>
        <w:t>廉政风险内容及其</w:t>
      </w:r>
      <w:r>
        <w:rPr>
          <w:rFonts w:ascii="宋体" w:hAnsi="宋体"/>
          <w:color w:val="000000"/>
          <w:sz w:val="24"/>
        </w:rPr>
        <w:t>风险点</w:t>
      </w:r>
      <w:r>
        <w:rPr>
          <w:rFonts w:hint="eastAsia" w:ascii="宋体" w:hAnsi="宋体"/>
          <w:color w:val="000000"/>
          <w:sz w:val="24"/>
        </w:rPr>
        <w:t>。</w:t>
      </w:r>
      <w:r>
        <w:rPr>
          <w:rFonts w:ascii="宋体" w:hAnsi="宋体"/>
          <w:color w:val="000000"/>
          <w:sz w:val="24"/>
        </w:rPr>
        <w:t>三是单位审查。在个人自查、单位评查的基础上，各单位工作小组对个人、本单位分别查找的廉政风险</w:t>
      </w:r>
      <w:r>
        <w:rPr>
          <w:rFonts w:hint="eastAsia" w:ascii="宋体" w:hAnsi="宋体"/>
          <w:color w:val="000000"/>
          <w:sz w:val="24"/>
        </w:rPr>
        <w:t>内容及其风险</w:t>
      </w:r>
      <w:r>
        <w:rPr>
          <w:rFonts w:ascii="宋体" w:hAnsi="宋体"/>
          <w:color w:val="000000"/>
          <w:sz w:val="24"/>
        </w:rPr>
        <w:t>点进行全面审核，重点审核查找</w:t>
      </w:r>
      <w:r>
        <w:rPr>
          <w:rFonts w:hint="eastAsia" w:ascii="宋体" w:hAnsi="宋体"/>
          <w:color w:val="000000"/>
          <w:sz w:val="24"/>
        </w:rPr>
        <w:t>出</w:t>
      </w:r>
      <w:r>
        <w:rPr>
          <w:rFonts w:ascii="宋体" w:hAnsi="宋体"/>
          <w:color w:val="000000"/>
          <w:sz w:val="24"/>
        </w:rPr>
        <w:t>的风险点“全不全”和“准不准”，确保查找准确</w:t>
      </w:r>
      <w:r>
        <w:rPr>
          <w:rFonts w:hint="eastAsia" w:ascii="宋体" w:hAnsi="宋体"/>
          <w:color w:val="000000"/>
          <w:sz w:val="24"/>
        </w:rPr>
        <w:t>全面</w:t>
      </w:r>
      <w:r>
        <w:rPr>
          <w:rFonts w:ascii="宋体" w:hAnsi="宋体"/>
          <w:color w:val="000000"/>
          <w:sz w:val="24"/>
        </w:rPr>
        <w:t>，不留死角</w:t>
      </w:r>
      <w:r>
        <w:rPr>
          <w:rFonts w:hint="eastAsia" w:ascii="宋体" w:hAnsi="宋体"/>
          <w:color w:val="000000"/>
          <w:sz w:val="24"/>
        </w:rPr>
        <w:t>和空白，</w:t>
      </w:r>
      <w:r>
        <w:rPr>
          <w:rFonts w:ascii="宋体" w:hAnsi="宋体"/>
          <w:color w:val="000000"/>
          <w:sz w:val="24"/>
        </w:rPr>
        <w:t>不留</w:t>
      </w:r>
      <w:r>
        <w:rPr>
          <w:rFonts w:hint="eastAsia" w:ascii="宋体" w:hAnsi="宋体"/>
          <w:color w:val="000000"/>
          <w:sz w:val="24"/>
        </w:rPr>
        <w:t>风险</w:t>
      </w:r>
      <w:r>
        <w:rPr>
          <w:rFonts w:ascii="宋体" w:hAnsi="宋体"/>
          <w:color w:val="000000"/>
          <w:sz w:val="24"/>
        </w:rPr>
        <w:t>隐患。</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 xml:space="preserve">廉政风险防控管理涉及的主要风险种类有： </w:t>
      </w:r>
    </w:p>
    <w:p>
      <w:pPr>
        <w:widowControl/>
        <w:shd w:val="clear" w:color="auto" w:fill="FFFFFF"/>
        <w:spacing w:line="480" w:lineRule="exact"/>
        <w:ind w:firstLine="482" w:firstLineChars="200"/>
        <w:rPr>
          <w:rFonts w:hint="eastAsia" w:ascii="宋体" w:hAnsi="宋体"/>
          <w:color w:val="000000"/>
          <w:sz w:val="24"/>
        </w:rPr>
      </w:pPr>
      <w:r>
        <w:rPr>
          <w:rFonts w:hint="eastAsia" w:ascii="宋体" w:hAnsi="宋体"/>
          <w:b/>
          <w:color w:val="000000"/>
          <w:sz w:val="24"/>
        </w:rPr>
        <w:t>(1)</w:t>
      </w:r>
      <w:r>
        <w:rPr>
          <w:rFonts w:hint="eastAsia" w:ascii="宋体" w:hAnsi="宋体"/>
          <w:b/>
          <w:bCs/>
          <w:color w:val="000000"/>
          <w:sz w:val="24"/>
        </w:rPr>
        <w:t>权力行使风险。</w:t>
      </w:r>
      <w:r>
        <w:rPr>
          <w:rFonts w:hint="eastAsia" w:ascii="宋体" w:hAnsi="宋体"/>
          <w:color w:val="000000"/>
          <w:sz w:val="24"/>
        </w:rPr>
        <w:t>重点查找由于权力过于集中、运行程序不规范和自由裁量幅度过大，可能造成权力滥用的风险。权力行使风险的重点是管人、财、物和具有审批审核权等重要岗位的人员，主要表现形式是：不履行“一岗双责”或履行不到位，违反民主集中制、“三重一大”等制度和规定，独断专行；不认真履行岗位职责和制度要求，软弱放任，失职渎职、不作为或滥用职权等。</w:t>
      </w:r>
    </w:p>
    <w:p>
      <w:pPr>
        <w:widowControl/>
        <w:shd w:val="clear" w:color="auto" w:fill="FFFFFF"/>
        <w:spacing w:line="480" w:lineRule="exact"/>
        <w:ind w:firstLine="482" w:firstLineChars="200"/>
        <w:rPr>
          <w:rFonts w:hint="eastAsia" w:ascii="宋体" w:hAnsi="宋体"/>
          <w:color w:val="000000"/>
          <w:sz w:val="24"/>
        </w:rPr>
      </w:pPr>
      <w:r>
        <w:rPr>
          <w:rFonts w:hint="eastAsia" w:ascii="宋体" w:hAnsi="宋体"/>
          <w:b/>
          <w:color w:val="000000"/>
          <w:sz w:val="24"/>
        </w:rPr>
        <w:t>(2)</w:t>
      </w:r>
      <w:r>
        <w:rPr>
          <w:rFonts w:hint="eastAsia" w:ascii="宋体" w:hAnsi="宋体"/>
          <w:b/>
          <w:bCs/>
          <w:color w:val="000000"/>
          <w:sz w:val="24"/>
        </w:rPr>
        <w:t>制度机制风险。</w:t>
      </w:r>
      <w:r>
        <w:rPr>
          <w:rFonts w:hint="eastAsia" w:ascii="宋体" w:hAnsi="宋体"/>
          <w:color w:val="000000"/>
          <w:sz w:val="24"/>
        </w:rPr>
        <w:t>重点查找由于规章制度不健全、监督制约机制不完善，可能导致权力失控的风险。制度机制风险的主要表现形式是：忽视制度建设，造成制度不健全不完善；未能根据改革发展、党风廉政建设、校风学风建设的形势需要和工作实践中取得的经验教训，及时完善各项制度；制度可操作性不强，相互监督制约机制的作用不明显，不能形成有效的常规化工作措施；由于认识上的偏差和思想上的轻视等因素，造成虽有制度但得不到认真贯彻执行或落实不到位，导致出现损失和工作疏漏等。</w:t>
      </w:r>
    </w:p>
    <w:p>
      <w:pPr>
        <w:widowControl/>
        <w:shd w:val="clear" w:color="auto" w:fill="FFFFFF"/>
        <w:spacing w:line="480" w:lineRule="exact"/>
        <w:ind w:firstLine="482" w:firstLineChars="200"/>
        <w:rPr>
          <w:rFonts w:hint="eastAsia" w:ascii="宋体" w:hAnsi="宋体"/>
          <w:color w:val="000000"/>
          <w:sz w:val="24"/>
        </w:rPr>
      </w:pPr>
      <w:r>
        <w:rPr>
          <w:rFonts w:hint="eastAsia" w:ascii="宋体" w:hAnsi="宋体"/>
          <w:b/>
          <w:color w:val="000000"/>
          <w:sz w:val="24"/>
        </w:rPr>
        <w:t>⑶思想道德风险。</w:t>
      </w:r>
      <w:r>
        <w:rPr>
          <w:rFonts w:hint="eastAsia" w:ascii="宋体" w:hAnsi="宋体"/>
          <w:color w:val="000000"/>
          <w:sz w:val="24"/>
        </w:rPr>
        <w:t>重点查找由于理想信念不坚定、工作作风不扎实和职业道德不牢固，以及外部环境对正确行使权力的影响，可能诱发行为失范的风险。思想道德风险的主要表现形式为理想信念动摇、贪图享受、漠视群众、以权谋私、形式主义、脱离实际、我行我素等。</w:t>
      </w:r>
    </w:p>
    <w:p>
      <w:pPr>
        <w:widowControl/>
        <w:shd w:val="clear" w:color="auto" w:fill="FFFFFF"/>
        <w:spacing w:line="480" w:lineRule="exact"/>
        <w:ind w:firstLine="482" w:firstLineChars="200"/>
        <w:rPr>
          <w:rFonts w:hint="eastAsia" w:ascii="宋体" w:hAnsi="宋体"/>
          <w:color w:val="000000"/>
          <w:sz w:val="24"/>
        </w:rPr>
      </w:pPr>
      <w:r>
        <w:rPr>
          <w:rFonts w:ascii="宋体" w:hAnsi="宋体"/>
          <w:b/>
          <w:color w:val="000000"/>
          <w:sz w:val="24"/>
        </w:rPr>
        <w:t>2.确定廉政风险等级。</w:t>
      </w:r>
      <w:r>
        <w:rPr>
          <w:rFonts w:ascii="宋体" w:hAnsi="宋体"/>
          <w:color w:val="000000"/>
          <w:sz w:val="24"/>
        </w:rPr>
        <w:t>在查找出廉政风险</w:t>
      </w:r>
      <w:r>
        <w:rPr>
          <w:rFonts w:hint="eastAsia" w:ascii="宋体" w:hAnsi="宋体"/>
          <w:color w:val="000000"/>
          <w:sz w:val="24"/>
        </w:rPr>
        <w:t>内容及其风险</w:t>
      </w:r>
      <w:r>
        <w:rPr>
          <w:rFonts w:ascii="宋体" w:hAnsi="宋体"/>
          <w:color w:val="000000"/>
          <w:sz w:val="24"/>
        </w:rPr>
        <w:t>点后，</w:t>
      </w:r>
      <w:r>
        <w:rPr>
          <w:rFonts w:hint="eastAsia" w:ascii="宋体" w:hAnsi="宋体"/>
          <w:color w:val="000000"/>
          <w:sz w:val="24"/>
        </w:rPr>
        <w:t>各岗位责任人、</w:t>
      </w:r>
      <w:r>
        <w:rPr>
          <w:rFonts w:ascii="宋体" w:hAnsi="宋体"/>
          <w:color w:val="000000"/>
          <w:sz w:val="24"/>
        </w:rPr>
        <w:t>各单位工作小组</w:t>
      </w:r>
      <w:r>
        <w:rPr>
          <w:rFonts w:hint="eastAsia" w:ascii="宋体" w:hAnsi="宋体"/>
          <w:color w:val="000000"/>
          <w:sz w:val="24"/>
        </w:rPr>
        <w:t>应根据权力的重要程度和行使频率、自由裁量权的大小、腐败现象发生的概率及危害程度等因素，对排查出的各类风险</w:t>
      </w:r>
      <w:r>
        <w:rPr>
          <w:rFonts w:ascii="宋体" w:hAnsi="宋体"/>
          <w:color w:val="000000"/>
          <w:sz w:val="24"/>
        </w:rPr>
        <w:t>进行评估，确定风险等级</w:t>
      </w:r>
      <w:r>
        <w:rPr>
          <w:rFonts w:hint="eastAsia" w:ascii="宋体" w:hAnsi="宋体"/>
          <w:color w:val="000000"/>
          <w:sz w:val="24"/>
        </w:rPr>
        <w:t>。</w:t>
      </w:r>
    </w:p>
    <w:p>
      <w:pPr>
        <w:widowControl/>
        <w:shd w:val="clear" w:color="auto" w:fill="FFFFFF"/>
        <w:spacing w:line="480" w:lineRule="exact"/>
        <w:ind w:firstLine="480" w:firstLineChars="200"/>
        <w:rPr>
          <w:rFonts w:hint="eastAsia" w:ascii="宋体" w:hAnsi="宋体"/>
          <w:color w:val="000000"/>
          <w:sz w:val="24"/>
        </w:rPr>
      </w:pPr>
      <w:r>
        <w:rPr>
          <w:rFonts w:hint="eastAsia" w:ascii="宋体" w:hAnsi="宋体"/>
          <w:color w:val="000000"/>
          <w:sz w:val="24"/>
        </w:rPr>
        <w:t>廉政风险分高、中、低三个等级：</w:t>
      </w:r>
    </w:p>
    <w:p>
      <w:pPr>
        <w:widowControl/>
        <w:shd w:val="clear" w:color="auto" w:fill="FFFFFF"/>
        <w:spacing w:line="480" w:lineRule="exact"/>
        <w:ind w:firstLine="480" w:firstLineChars="200"/>
        <w:rPr>
          <w:rFonts w:ascii="宋体" w:hAnsi="宋体" w:cs="宋体"/>
          <w:color w:val="000000"/>
          <w:kern w:val="0"/>
          <w:sz w:val="24"/>
        </w:rPr>
      </w:pPr>
      <w:r>
        <w:rPr>
          <w:rFonts w:hint="eastAsia" w:ascii="宋体" w:hAnsi="宋体"/>
          <w:color w:val="000000"/>
          <w:sz w:val="24"/>
        </w:rPr>
        <w:t>(1)</w:t>
      </w:r>
      <w:r>
        <w:rPr>
          <w:rFonts w:hint="eastAsia" w:ascii="宋体" w:hAnsi="宋体" w:cs="宋体"/>
          <w:color w:val="000000"/>
          <w:kern w:val="0"/>
          <w:sz w:val="24"/>
        </w:rPr>
        <w:t>凡可能出现和滋生严重违纪违规或违法犯罪行为的风险点，评定为高风险等级。主要涉及“三重一大”的事项，涉及人财物等调配权力操作较灵活、有较大自由载量权的岗位，一旦发生将产生严重的社会影响和经济损失的风险。</w:t>
      </w:r>
    </w:p>
    <w:p>
      <w:pPr>
        <w:widowControl/>
        <w:shd w:val="clear" w:color="auto" w:fill="FFFFFF"/>
        <w:spacing w:line="480" w:lineRule="exact"/>
        <w:ind w:firstLine="480" w:firstLineChars="200"/>
        <w:rPr>
          <w:rFonts w:ascii="宋体" w:hAnsi="宋体" w:cs="宋体"/>
          <w:color w:val="000000"/>
          <w:kern w:val="36"/>
          <w:sz w:val="24"/>
        </w:rPr>
      </w:pPr>
      <w:r>
        <w:rPr>
          <w:rFonts w:hint="eastAsia" w:ascii="宋体" w:hAnsi="宋体"/>
          <w:color w:val="000000"/>
          <w:sz w:val="24"/>
        </w:rPr>
        <w:t>(2)</w:t>
      </w:r>
      <w:r>
        <w:rPr>
          <w:rFonts w:hint="eastAsia" w:ascii="宋体" w:hAnsi="宋体" w:cs="宋体"/>
          <w:color w:val="000000"/>
          <w:kern w:val="36"/>
          <w:sz w:val="24"/>
        </w:rPr>
        <w:t>凡容易出现和滋生违规违纪行为，并且可能受到责任追究及党政纪处分的风险点，评定为中风险等级。主要是不直接拥有人财物的支配权，但可借助职位影响和工作机会谋取私利的岗位，一旦发生会在单位内外造成一定的社会影响和经济损失的风险。</w:t>
      </w:r>
    </w:p>
    <w:p>
      <w:pPr>
        <w:widowControl/>
        <w:shd w:val="clear" w:color="auto" w:fill="FFFFFF"/>
        <w:spacing w:line="480" w:lineRule="exact"/>
        <w:ind w:firstLine="480" w:firstLineChars="200"/>
        <w:rPr>
          <w:rFonts w:hint="eastAsia" w:ascii="宋体" w:hAnsi="宋体" w:cs="宋体"/>
          <w:color w:val="000000"/>
          <w:kern w:val="36"/>
          <w:sz w:val="24"/>
        </w:rPr>
      </w:pPr>
      <w:r>
        <w:rPr>
          <w:rFonts w:hint="eastAsia" w:ascii="宋体" w:hAnsi="宋体"/>
          <w:color w:val="000000"/>
          <w:sz w:val="24"/>
        </w:rPr>
        <w:t>⑶</w:t>
      </w:r>
      <w:r>
        <w:rPr>
          <w:rFonts w:hint="eastAsia" w:ascii="宋体" w:hAnsi="宋体" w:cs="宋体"/>
          <w:color w:val="000000"/>
          <w:kern w:val="36"/>
          <w:sz w:val="24"/>
        </w:rPr>
        <w:t>凡是容易出现一般违规违纪行为，并且可能受到内部责任追究或被通报批评、诫勉或提醒谈话的风险点，评定为低风险等级。主要是不涉及人财物等权力，工作内容较公开的岗位，一旦发生造成的影响程度较低，在单位内部能很快能处置或解决的风险。</w:t>
      </w:r>
    </w:p>
    <w:p>
      <w:pPr>
        <w:spacing w:line="480" w:lineRule="exact"/>
        <w:ind w:firstLine="480" w:firstLineChars="200"/>
        <w:rPr>
          <w:rFonts w:hint="eastAsia" w:ascii="宋体" w:hAnsi="宋体"/>
          <w:color w:val="000000"/>
          <w:sz w:val="24"/>
        </w:rPr>
      </w:pPr>
      <w:r>
        <w:rPr>
          <w:rFonts w:hint="eastAsia" w:ascii="宋体" w:hAnsi="宋体"/>
          <w:color w:val="000000"/>
          <w:sz w:val="24"/>
        </w:rPr>
        <w:t>根据上述1、2项排查和定级结果，个人</w:t>
      </w:r>
      <w:r>
        <w:rPr>
          <w:rFonts w:ascii="宋体" w:hAnsi="宋体"/>
          <w:color w:val="000000"/>
          <w:sz w:val="24"/>
        </w:rPr>
        <w:t>填写《</w:t>
      </w:r>
      <w:r>
        <w:rPr>
          <w:rFonts w:hint="eastAsia" w:ascii="宋体" w:hAnsi="宋体"/>
          <w:color w:val="000000"/>
          <w:sz w:val="24"/>
        </w:rPr>
        <w:t>西北师范大学个人</w:t>
      </w:r>
      <w:r>
        <w:rPr>
          <w:rFonts w:ascii="宋体" w:hAnsi="宋体"/>
          <w:color w:val="000000"/>
          <w:sz w:val="24"/>
        </w:rPr>
        <w:t>岗位廉政风险防控点排查、定级表》（附</w:t>
      </w:r>
      <w:r>
        <w:rPr>
          <w:rFonts w:hint="eastAsia" w:ascii="宋体" w:hAnsi="宋体"/>
          <w:color w:val="000000"/>
          <w:sz w:val="24"/>
        </w:rPr>
        <w:t>表1</w:t>
      </w:r>
      <w:r>
        <w:rPr>
          <w:rFonts w:ascii="宋体" w:hAnsi="宋体"/>
          <w:color w:val="000000"/>
          <w:sz w:val="24"/>
        </w:rPr>
        <w:t>）</w:t>
      </w:r>
      <w:r>
        <w:rPr>
          <w:rFonts w:hint="eastAsia" w:ascii="宋体" w:hAnsi="宋体"/>
          <w:color w:val="000000"/>
          <w:sz w:val="24"/>
        </w:rPr>
        <w:t>，单位填写</w:t>
      </w:r>
      <w:r>
        <w:rPr>
          <w:rFonts w:ascii="宋体" w:hAnsi="宋体"/>
          <w:color w:val="000000"/>
          <w:sz w:val="24"/>
        </w:rPr>
        <w:t>《</w:t>
      </w:r>
      <w:r>
        <w:rPr>
          <w:rFonts w:hint="eastAsia" w:ascii="宋体" w:hAnsi="宋体"/>
          <w:color w:val="000000"/>
          <w:sz w:val="24"/>
        </w:rPr>
        <w:t>西北师范大学</w:t>
      </w:r>
      <w:r>
        <w:rPr>
          <w:rFonts w:ascii="宋体" w:hAnsi="宋体"/>
          <w:color w:val="000000"/>
          <w:sz w:val="24"/>
        </w:rPr>
        <w:t>单位廉政风险防控点排查、定级表》（附</w:t>
      </w:r>
      <w:r>
        <w:rPr>
          <w:rFonts w:hint="eastAsia" w:ascii="宋体" w:hAnsi="宋体"/>
          <w:color w:val="000000"/>
          <w:sz w:val="24"/>
        </w:rPr>
        <w:t>表2</w:t>
      </w:r>
      <w:r>
        <w:rPr>
          <w:rFonts w:ascii="宋体" w:hAnsi="宋体"/>
          <w:color w:val="000000"/>
          <w:sz w:val="24"/>
        </w:rPr>
        <w:t>）</w:t>
      </w:r>
      <w:r>
        <w:rPr>
          <w:rFonts w:hint="eastAsia" w:ascii="宋体" w:hAnsi="宋体"/>
          <w:color w:val="000000"/>
          <w:sz w:val="24"/>
        </w:rPr>
        <w:t>和《西北师范大学廉政风险点及风险等级汇总表》（附表3），</w:t>
      </w:r>
      <w:r>
        <w:rPr>
          <w:rFonts w:ascii="宋体" w:hAnsi="宋体"/>
          <w:color w:val="000000"/>
          <w:sz w:val="24"/>
        </w:rPr>
        <w:t>在本单位内部进行公示之后，上报学校领导小组审核</w:t>
      </w:r>
      <w:r>
        <w:rPr>
          <w:rFonts w:hint="eastAsia" w:ascii="宋体" w:hAnsi="宋体"/>
          <w:color w:val="000000"/>
          <w:sz w:val="24"/>
        </w:rPr>
        <w:t>备案</w:t>
      </w:r>
      <w:r>
        <w:rPr>
          <w:rFonts w:ascii="宋体" w:hAnsi="宋体"/>
          <w:color w:val="000000"/>
          <w:sz w:val="24"/>
        </w:rPr>
        <w:t>。</w:t>
      </w:r>
    </w:p>
    <w:p>
      <w:pPr>
        <w:widowControl/>
        <w:shd w:val="clear" w:color="auto" w:fill="FFFFFF"/>
        <w:spacing w:line="480" w:lineRule="exact"/>
        <w:ind w:firstLine="482" w:firstLineChars="200"/>
        <w:rPr>
          <w:rFonts w:ascii="楷体_GB2312" w:hAnsi="宋体" w:eastAsia="楷体_GB2312"/>
          <w:b/>
          <w:color w:val="000000"/>
          <w:sz w:val="24"/>
        </w:rPr>
      </w:pPr>
      <w:r>
        <w:rPr>
          <w:rFonts w:ascii="楷体_GB2312" w:hAnsi="宋体" w:eastAsia="楷体_GB2312"/>
          <w:b/>
          <w:color w:val="000000"/>
          <w:sz w:val="24"/>
        </w:rPr>
        <w:t>（三）制定</w:t>
      </w:r>
      <w:r>
        <w:rPr>
          <w:rFonts w:hint="eastAsia" w:ascii="楷体_GB2312" w:hAnsi="宋体" w:eastAsia="楷体_GB2312"/>
          <w:b/>
          <w:color w:val="000000"/>
          <w:sz w:val="24"/>
        </w:rPr>
        <w:t>风险</w:t>
      </w:r>
      <w:r>
        <w:rPr>
          <w:rFonts w:ascii="楷体_GB2312" w:hAnsi="宋体" w:eastAsia="楷体_GB2312"/>
          <w:b/>
          <w:color w:val="000000"/>
          <w:sz w:val="24"/>
        </w:rPr>
        <w:t>防控措施阶段(2013年</w:t>
      </w:r>
      <w:r>
        <w:rPr>
          <w:rFonts w:hint="eastAsia" w:ascii="楷体_GB2312" w:hAnsi="宋体" w:eastAsia="楷体_GB2312"/>
          <w:b/>
          <w:color w:val="000000"/>
          <w:sz w:val="24"/>
        </w:rPr>
        <w:t>7</w:t>
      </w:r>
      <w:r>
        <w:rPr>
          <w:rFonts w:ascii="楷体_GB2312" w:hAnsi="宋体" w:eastAsia="楷体_GB2312"/>
          <w:b/>
          <w:color w:val="000000"/>
          <w:sz w:val="24"/>
        </w:rPr>
        <w:t>月</w:t>
      </w:r>
      <w:r>
        <w:rPr>
          <w:rFonts w:hint="eastAsia" w:ascii="楷体_GB2312" w:hAnsi="宋体" w:eastAsia="楷体_GB2312"/>
          <w:b/>
          <w:color w:val="000000"/>
          <w:sz w:val="24"/>
        </w:rPr>
        <w:t>上旬</w:t>
      </w:r>
      <w:r>
        <w:rPr>
          <w:rFonts w:ascii="楷体_GB2312" w:hAnsi="宋体" w:eastAsia="楷体_GB2312"/>
          <w:b/>
          <w:color w:val="000000"/>
          <w:sz w:val="24"/>
        </w:rPr>
        <w:t>前完成)</w:t>
      </w:r>
    </w:p>
    <w:p>
      <w:pPr>
        <w:widowControl/>
        <w:shd w:val="clear" w:color="auto" w:fill="FFFFFF"/>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针对排查出的各类廉政风险和风险等级，依据法律法规、政策规定、廉政要求、工作职责和工作标准，制定有针对性、容易操作、具体管用和切实可行的防控措施，特别要突出对高等级风险的防控。属于权力行使方面的，要建立健全权力运行程序规定，探索完善分权、控权的有效方法，界定裁量空间、优化权力结构和制衡机制，规范权力行使，做到权责明确；属于制度机制方面的，按照建立健全惩治和预防腐败体系的要求，查漏补缺，建章立制，健全完善相关规章和管理制度以及程序机制。同时抓好规章制度的宣传学习，保障各项规章制度的有效运行和全面落实；属于思想道德方面的，通过开展专题党课、示范教育、警示教育、岗位廉政教育等方式，增强党员干部和重要岗位工作人员风险防范意识，提高廉洁从政的自觉性。</w:t>
      </w:r>
    </w:p>
    <w:p>
      <w:pPr>
        <w:widowControl/>
        <w:shd w:val="clear" w:color="auto" w:fill="FFFFFF"/>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个人岗位廉政风险，由本人对照与业务工作相关的各项法规制度，明晰职责，提出防范控制风险的具体措施和办法。各部门和各单位的廉政风险，由本部门、本单位负责人围绕决策、执行过程和监督、检查、考核等关键环节，研究制定具体防控措施，并认真填写《西北师范大学廉政风险点及防控措施登记表》</w:t>
      </w:r>
      <w:r>
        <w:rPr>
          <w:rFonts w:ascii="宋体" w:hAnsi="宋体"/>
          <w:color w:val="000000"/>
          <w:sz w:val="24"/>
        </w:rPr>
        <w:t>（附</w:t>
      </w:r>
      <w:r>
        <w:rPr>
          <w:rFonts w:hint="eastAsia" w:ascii="宋体" w:hAnsi="宋体"/>
          <w:color w:val="000000"/>
          <w:sz w:val="24"/>
        </w:rPr>
        <w:t>表4</w:t>
      </w:r>
      <w:r>
        <w:rPr>
          <w:rFonts w:ascii="宋体" w:hAnsi="宋体"/>
          <w:color w:val="000000"/>
          <w:sz w:val="24"/>
        </w:rPr>
        <w:t>）</w:t>
      </w:r>
      <w:r>
        <w:rPr>
          <w:rFonts w:hint="eastAsia" w:ascii="宋体" w:hAnsi="宋体"/>
          <w:color w:val="000000"/>
          <w:sz w:val="24"/>
        </w:rPr>
        <w:t>，</w:t>
      </w:r>
      <w:r>
        <w:rPr>
          <w:rFonts w:ascii="宋体" w:hAnsi="宋体"/>
          <w:color w:val="000000"/>
          <w:sz w:val="24"/>
        </w:rPr>
        <w:t>在本单位内部公示</w:t>
      </w:r>
      <w:r>
        <w:rPr>
          <w:rFonts w:hint="eastAsia" w:ascii="宋体" w:hAnsi="宋体"/>
          <w:color w:val="000000"/>
          <w:sz w:val="24"/>
        </w:rPr>
        <w:t>后</w:t>
      </w:r>
      <w:r>
        <w:rPr>
          <w:rFonts w:ascii="宋体" w:hAnsi="宋体"/>
          <w:color w:val="000000"/>
          <w:sz w:val="24"/>
        </w:rPr>
        <w:t>，报学校领导小组办公室备案。</w:t>
      </w:r>
    </w:p>
    <w:p>
      <w:pPr>
        <w:widowControl/>
        <w:shd w:val="clear" w:color="auto" w:fill="FFFFFF"/>
        <w:spacing w:line="480" w:lineRule="exact"/>
        <w:ind w:firstLine="482" w:firstLineChars="200"/>
        <w:rPr>
          <w:rFonts w:ascii="楷体_GB2312" w:hAnsi="宋体" w:eastAsia="楷体_GB2312"/>
          <w:b/>
          <w:color w:val="000000"/>
          <w:sz w:val="24"/>
        </w:rPr>
      </w:pPr>
      <w:r>
        <w:rPr>
          <w:rFonts w:ascii="楷体_GB2312" w:hAnsi="宋体" w:eastAsia="楷体_GB2312"/>
          <w:b/>
          <w:color w:val="000000"/>
          <w:sz w:val="24"/>
        </w:rPr>
        <w:t>（四）检查完善阶段(2013年</w:t>
      </w:r>
      <w:r>
        <w:rPr>
          <w:rFonts w:hint="eastAsia" w:ascii="楷体_GB2312" w:hAnsi="宋体" w:eastAsia="楷体_GB2312"/>
          <w:b/>
          <w:color w:val="000000"/>
          <w:sz w:val="24"/>
        </w:rPr>
        <w:t>12</w:t>
      </w:r>
      <w:r>
        <w:rPr>
          <w:rFonts w:ascii="楷体_GB2312" w:hAnsi="宋体" w:eastAsia="楷体_GB2312"/>
          <w:b/>
          <w:color w:val="000000"/>
          <w:sz w:val="24"/>
        </w:rPr>
        <w:t>月</w:t>
      </w:r>
      <w:r>
        <w:rPr>
          <w:rFonts w:hint="eastAsia" w:ascii="楷体_GB2312" w:hAnsi="宋体" w:eastAsia="楷体_GB2312"/>
          <w:b/>
          <w:color w:val="000000"/>
          <w:sz w:val="24"/>
        </w:rPr>
        <w:t>上旬</w:t>
      </w:r>
      <w:r>
        <w:rPr>
          <w:rFonts w:ascii="楷体_GB2312" w:hAnsi="宋体" w:eastAsia="楷体_GB2312"/>
          <w:b/>
          <w:color w:val="000000"/>
          <w:sz w:val="24"/>
        </w:rPr>
        <w:t>前完成)</w:t>
      </w:r>
    </w:p>
    <w:p>
      <w:pPr>
        <w:widowControl/>
        <w:shd w:val="clear" w:color="auto" w:fill="FFFFFF"/>
        <w:spacing w:line="480" w:lineRule="exact"/>
        <w:ind w:firstLine="480" w:firstLineChars="200"/>
        <w:rPr>
          <w:rFonts w:hint="eastAsia" w:ascii="宋体" w:hAnsi="宋体"/>
          <w:color w:val="000000"/>
          <w:sz w:val="24"/>
        </w:rPr>
      </w:pPr>
      <w:r>
        <w:rPr>
          <w:rFonts w:ascii="宋体" w:hAnsi="宋体"/>
          <w:color w:val="000000"/>
          <w:sz w:val="24"/>
        </w:rPr>
        <w:t>各单位工作小组要对岗位责任人落实</w:t>
      </w:r>
      <w:r>
        <w:rPr>
          <w:rFonts w:hint="eastAsia" w:ascii="宋体" w:hAnsi="宋体"/>
          <w:color w:val="000000"/>
          <w:sz w:val="24"/>
        </w:rPr>
        <w:t>风险</w:t>
      </w:r>
      <w:r>
        <w:rPr>
          <w:rFonts w:ascii="宋体" w:hAnsi="宋体"/>
          <w:color w:val="000000"/>
          <w:sz w:val="24"/>
        </w:rPr>
        <w:t>防控措施的情况进行定期检查，针对检查中</w:t>
      </w:r>
      <w:r>
        <w:rPr>
          <w:rFonts w:hint="eastAsia" w:ascii="宋体" w:hAnsi="宋体"/>
          <w:color w:val="000000"/>
          <w:sz w:val="24"/>
        </w:rPr>
        <w:t>发现</w:t>
      </w:r>
      <w:r>
        <w:rPr>
          <w:rFonts w:ascii="宋体" w:hAnsi="宋体"/>
          <w:color w:val="000000"/>
          <w:sz w:val="24"/>
        </w:rPr>
        <w:t>的不足和问题，本着不断完善、精益求精的工作态度，结合形势发展、职能转变和预防腐败的新要求，及时调整廉政风险点</w:t>
      </w:r>
      <w:r>
        <w:rPr>
          <w:rFonts w:hint="eastAsia" w:ascii="宋体" w:hAnsi="宋体"/>
          <w:color w:val="000000"/>
          <w:sz w:val="24"/>
        </w:rPr>
        <w:t>，</w:t>
      </w:r>
      <w:r>
        <w:rPr>
          <w:rFonts w:ascii="宋体" w:hAnsi="宋体"/>
          <w:color w:val="000000"/>
          <w:sz w:val="24"/>
        </w:rPr>
        <w:t>修订防控措施及流程图，更好地防控违纪违法行为。</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各单位要对</w:t>
      </w:r>
      <w:r>
        <w:rPr>
          <w:rFonts w:hint="eastAsia" w:ascii="宋体" w:hAnsi="宋体"/>
          <w:color w:val="000000"/>
          <w:sz w:val="24"/>
        </w:rPr>
        <w:t>实施</w:t>
      </w:r>
      <w:r>
        <w:rPr>
          <w:rFonts w:ascii="宋体" w:hAnsi="宋体"/>
          <w:color w:val="000000"/>
          <w:sz w:val="24"/>
        </w:rPr>
        <w:t>廉政风险防控</w:t>
      </w:r>
      <w:r>
        <w:rPr>
          <w:rFonts w:hint="eastAsia" w:ascii="宋体" w:hAnsi="宋体"/>
          <w:color w:val="000000"/>
          <w:sz w:val="24"/>
        </w:rPr>
        <w:t>管理</w:t>
      </w:r>
      <w:r>
        <w:rPr>
          <w:rFonts w:ascii="宋体" w:hAnsi="宋体"/>
          <w:color w:val="000000"/>
          <w:sz w:val="24"/>
        </w:rPr>
        <w:t>进行认真归纳总结，形成书面</w:t>
      </w:r>
      <w:r>
        <w:rPr>
          <w:rFonts w:hint="eastAsia" w:ascii="宋体" w:hAnsi="宋体"/>
          <w:color w:val="000000"/>
          <w:sz w:val="24"/>
        </w:rPr>
        <w:t>报告</w:t>
      </w:r>
      <w:r>
        <w:rPr>
          <w:rFonts w:ascii="宋体" w:hAnsi="宋体"/>
          <w:color w:val="000000"/>
          <w:sz w:val="24"/>
        </w:rPr>
        <w:t>，报送学校领导小组办公室（电子版材料请发至</w:t>
      </w:r>
      <w:r>
        <w:rPr>
          <w:rFonts w:hint="eastAsia" w:ascii="宋体" w:hAnsi="宋体"/>
          <w:color w:val="000000"/>
          <w:sz w:val="24"/>
        </w:rPr>
        <w:t>jiwei</w:t>
      </w:r>
      <w:r>
        <w:rPr>
          <w:rFonts w:ascii="宋体" w:hAnsi="宋体"/>
          <w:color w:val="000000"/>
          <w:sz w:val="24"/>
        </w:rPr>
        <w:t>＠</w:t>
      </w:r>
      <w:r>
        <w:rPr>
          <w:rFonts w:hint="eastAsia" w:ascii="宋体" w:hAnsi="宋体"/>
          <w:color w:val="000000"/>
          <w:sz w:val="24"/>
        </w:rPr>
        <w:t>nwnu</w:t>
      </w:r>
      <w:r>
        <w:rPr>
          <w:rFonts w:ascii="宋体" w:hAnsi="宋体"/>
          <w:color w:val="000000"/>
          <w:sz w:val="24"/>
        </w:rPr>
        <w:t>.edu.cn）。</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开展廉政风险防控</w:t>
      </w:r>
      <w:r>
        <w:rPr>
          <w:rFonts w:hint="eastAsia" w:ascii="宋体" w:hAnsi="宋体"/>
          <w:color w:val="000000"/>
          <w:sz w:val="24"/>
        </w:rPr>
        <w:t>管理</w:t>
      </w:r>
      <w:r>
        <w:rPr>
          <w:rFonts w:ascii="宋体" w:hAnsi="宋体"/>
          <w:color w:val="000000"/>
          <w:sz w:val="24"/>
        </w:rPr>
        <w:t>工作期间，学校领导小组将通过一定方式对各单位廉政风险防控</w:t>
      </w:r>
      <w:r>
        <w:rPr>
          <w:rFonts w:hint="eastAsia" w:ascii="宋体" w:hAnsi="宋体"/>
          <w:color w:val="000000"/>
          <w:sz w:val="24"/>
        </w:rPr>
        <w:t>管理</w:t>
      </w:r>
      <w:r>
        <w:rPr>
          <w:rFonts w:ascii="宋体" w:hAnsi="宋体"/>
          <w:color w:val="000000"/>
          <w:sz w:val="24"/>
        </w:rPr>
        <w:t>工作的推进、完成情况进行检查，其结果将在领导班子及领导干部年度考核、党风廉政建设责任制考核中反映。</w:t>
      </w:r>
    </w:p>
    <w:p>
      <w:pPr>
        <w:widowControl/>
        <w:shd w:val="clear" w:color="auto" w:fill="FFFFFF"/>
        <w:spacing w:line="480" w:lineRule="exact"/>
        <w:ind w:firstLine="480" w:firstLineChars="200"/>
        <w:rPr>
          <w:rFonts w:ascii="黑体" w:hAnsi="黑体" w:eastAsia="黑体"/>
          <w:bCs/>
          <w:color w:val="000000"/>
          <w:sz w:val="24"/>
        </w:rPr>
      </w:pPr>
      <w:r>
        <w:rPr>
          <w:rFonts w:hint="eastAsia" w:ascii="黑体" w:hAnsi="黑体" w:eastAsia="黑体"/>
          <w:bCs/>
          <w:color w:val="000000"/>
          <w:sz w:val="24"/>
        </w:rPr>
        <w:t>三</w:t>
      </w:r>
      <w:r>
        <w:rPr>
          <w:rFonts w:ascii="黑体" w:hAnsi="黑体" w:eastAsia="黑体"/>
          <w:bCs/>
          <w:color w:val="000000"/>
          <w:sz w:val="24"/>
        </w:rPr>
        <w:t>、工作要求</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（一）统一思想，提高认识。加强廉政风险防控</w:t>
      </w:r>
      <w:r>
        <w:rPr>
          <w:rFonts w:hint="eastAsia" w:ascii="宋体" w:hAnsi="宋体"/>
          <w:color w:val="000000"/>
          <w:sz w:val="24"/>
        </w:rPr>
        <w:t>管理</w:t>
      </w:r>
      <w:r>
        <w:rPr>
          <w:rFonts w:ascii="宋体" w:hAnsi="宋体"/>
          <w:color w:val="000000"/>
          <w:sz w:val="24"/>
        </w:rPr>
        <w:t>，是落实党中央提出的进一步完善惩防体系、加强反腐倡廉建设的重要举措，是进一步加强我校党风廉政建设的重要内容，也是落实科学发展观，提高干部、教师素质和管理水平的有机组成部分。做好廉政风险防控</w:t>
      </w:r>
      <w:r>
        <w:rPr>
          <w:rFonts w:hint="eastAsia" w:ascii="宋体" w:hAnsi="宋体"/>
          <w:color w:val="000000"/>
          <w:sz w:val="24"/>
        </w:rPr>
        <w:t>管理</w:t>
      </w:r>
      <w:r>
        <w:rPr>
          <w:rFonts w:ascii="宋体" w:hAnsi="宋体"/>
          <w:color w:val="000000"/>
          <w:sz w:val="24"/>
        </w:rPr>
        <w:t>工作，有利于将预防警示、关口前移落到实处，推进惩防体系建设；有利于阳光用权、按程序办事；有利于增强干部职工的廉洁自律意识，降低</w:t>
      </w:r>
      <w:r>
        <w:rPr>
          <w:rFonts w:hint="eastAsia" w:ascii="宋体" w:hAnsi="宋体"/>
          <w:color w:val="000000"/>
          <w:sz w:val="24"/>
        </w:rPr>
        <w:t>廉政</w:t>
      </w:r>
      <w:r>
        <w:rPr>
          <w:rFonts w:ascii="宋体" w:hAnsi="宋体"/>
          <w:color w:val="000000"/>
          <w:sz w:val="24"/>
        </w:rPr>
        <w:t>风险，提高科学治校的整体水平。各单位要充分认识廉政风险防控</w:t>
      </w:r>
      <w:r>
        <w:rPr>
          <w:rFonts w:hint="eastAsia" w:ascii="宋体" w:hAnsi="宋体"/>
          <w:color w:val="000000"/>
          <w:sz w:val="24"/>
        </w:rPr>
        <w:t>管理的</w:t>
      </w:r>
      <w:r>
        <w:rPr>
          <w:rFonts w:ascii="宋体" w:hAnsi="宋体"/>
          <w:color w:val="000000"/>
          <w:sz w:val="24"/>
        </w:rPr>
        <w:t>重要意义，本着服务教学科研、服务师生员工、服务经济社会的态度，加大宣传力度，按照学校工作整体部署和要求，按时、保质</w:t>
      </w:r>
      <w:r>
        <w:rPr>
          <w:rFonts w:hint="eastAsia" w:ascii="宋体" w:hAnsi="宋体"/>
          <w:color w:val="000000"/>
          <w:sz w:val="24"/>
        </w:rPr>
        <w:t>保量</w:t>
      </w:r>
      <w:r>
        <w:rPr>
          <w:rFonts w:ascii="宋体" w:hAnsi="宋体"/>
          <w:color w:val="000000"/>
          <w:sz w:val="24"/>
        </w:rPr>
        <w:t>完成每个阶段的规定任务。</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（二）加强领导，落实责任。加强廉政风险防控</w:t>
      </w:r>
      <w:r>
        <w:rPr>
          <w:rFonts w:hint="eastAsia" w:ascii="宋体" w:hAnsi="宋体"/>
          <w:color w:val="000000"/>
          <w:sz w:val="24"/>
        </w:rPr>
        <w:t>管理</w:t>
      </w:r>
      <w:r>
        <w:rPr>
          <w:rFonts w:ascii="宋体" w:hAnsi="宋体"/>
          <w:color w:val="000000"/>
          <w:sz w:val="24"/>
        </w:rPr>
        <w:t>，是一项全新的工作</w:t>
      </w:r>
      <w:r>
        <w:rPr>
          <w:rFonts w:hint="eastAsia" w:ascii="宋体" w:hAnsi="宋体"/>
          <w:color w:val="000000"/>
          <w:sz w:val="24"/>
        </w:rPr>
        <w:t>，也是一项长期的系统工程</w:t>
      </w:r>
      <w:r>
        <w:rPr>
          <w:rFonts w:ascii="宋体" w:hAnsi="宋体"/>
          <w:color w:val="000000"/>
          <w:sz w:val="24"/>
        </w:rPr>
        <w:t>。学校领导小组要加强指导和督促，注重调研，及时解决工作开展过程中出现的各种问题。各单位党政领导班子要把</w:t>
      </w:r>
      <w:r>
        <w:rPr>
          <w:rFonts w:hint="eastAsia" w:ascii="宋体" w:hAnsi="宋体"/>
          <w:color w:val="000000"/>
          <w:sz w:val="24"/>
        </w:rPr>
        <w:t>全面</w:t>
      </w:r>
      <w:r>
        <w:rPr>
          <w:rFonts w:ascii="宋体" w:hAnsi="宋体"/>
          <w:color w:val="000000"/>
          <w:sz w:val="24"/>
        </w:rPr>
        <w:t>推进廉政风险防控</w:t>
      </w:r>
      <w:r>
        <w:rPr>
          <w:rFonts w:hint="eastAsia" w:ascii="宋体" w:hAnsi="宋体"/>
          <w:color w:val="000000"/>
          <w:sz w:val="24"/>
        </w:rPr>
        <w:t>管理</w:t>
      </w:r>
      <w:r>
        <w:rPr>
          <w:rFonts w:ascii="宋体" w:hAnsi="宋体"/>
          <w:color w:val="000000"/>
          <w:sz w:val="24"/>
        </w:rPr>
        <w:t>作为重要任务列入议事日程，理清工作思路，分清工作层次，周密安排部署。各级领导干部要切实履行“一岗双责”，发挥好表率作用，带头做好自身岗位、分管部门和本单位的廉政风险防控</w:t>
      </w:r>
      <w:r>
        <w:rPr>
          <w:rFonts w:hint="eastAsia" w:ascii="宋体" w:hAnsi="宋体"/>
          <w:color w:val="000000"/>
          <w:sz w:val="24"/>
        </w:rPr>
        <w:t>管理</w:t>
      </w:r>
      <w:r>
        <w:rPr>
          <w:rFonts w:ascii="宋体" w:hAnsi="宋体"/>
          <w:color w:val="000000"/>
          <w:sz w:val="24"/>
        </w:rPr>
        <w:t>。</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（三）突出重点，扎实推进。</w:t>
      </w:r>
      <w:r>
        <w:rPr>
          <w:rFonts w:hint="eastAsia" w:ascii="宋体" w:hAnsi="宋体"/>
          <w:color w:val="000000"/>
          <w:sz w:val="24"/>
        </w:rPr>
        <w:t>实施</w:t>
      </w:r>
      <w:r>
        <w:rPr>
          <w:rFonts w:ascii="宋体" w:hAnsi="宋体"/>
          <w:color w:val="000000"/>
          <w:sz w:val="24"/>
        </w:rPr>
        <w:t>廉政风险防控</w:t>
      </w:r>
      <w:r>
        <w:rPr>
          <w:rFonts w:hint="eastAsia" w:ascii="宋体" w:hAnsi="宋体"/>
          <w:color w:val="000000"/>
          <w:sz w:val="24"/>
        </w:rPr>
        <w:t>管理</w:t>
      </w:r>
      <w:r>
        <w:rPr>
          <w:rFonts w:ascii="宋体" w:hAnsi="宋体"/>
          <w:color w:val="000000"/>
          <w:sz w:val="24"/>
        </w:rPr>
        <w:t>，要具体到每个单位和每个岗位，既要认真查找每个单位的廉政风险，又要查找每个岗位的廉政风险；工作中要先局部后全局，逐步推进。要从具体业务工作流程入手，重点查找思想教育是否到位，制度规定是否健全，工作机制是否</w:t>
      </w:r>
      <w:r>
        <w:rPr>
          <w:rFonts w:hint="eastAsia" w:ascii="宋体" w:hAnsi="宋体"/>
          <w:color w:val="000000"/>
          <w:sz w:val="24"/>
        </w:rPr>
        <w:t>完善</w:t>
      </w:r>
      <w:r>
        <w:rPr>
          <w:rFonts w:ascii="宋体" w:hAnsi="宋体"/>
          <w:color w:val="000000"/>
          <w:sz w:val="24"/>
        </w:rPr>
        <w:t>，细心梳理，认真找准找全工作中潜在的廉政风险和管理中的薄弱环节。要突出重点，高度重视涉及人、财、物等重点岗位和关键环节风险点的排查。要强化防控措施，并落实到具体岗位和人员。</w:t>
      </w:r>
    </w:p>
    <w:p>
      <w:pPr>
        <w:widowControl/>
        <w:shd w:val="clear" w:color="auto" w:fill="FFFFFF"/>
        <w:spacing w:line="480" w:lineRule="exact"/>
        <w:ind w:firstLine="480" w:firstLineChars="200"/>
        <w:rPr>
          <w:rFonts w:ascii="宋体" w:hAnsi="宋体"/>
          <w:color w:val="000000"/>
          <w:sz w:val="24"/>
        </w:rPr>
      </w:pPr>
      <w:r>
        <w:rPr>
          <w:rFonts w:ascii="宋体" w:hAnsi="宋体"/>
          <w:color w:val="000000"/>
          <w:sz w:val="24"/>
        </w:rPr>
        <w:t>（四）抓好结合，注重实效。做好廉政风险防控</w:t>
      </w:r>
      <w:r>
        <w:rPr>
          <w:rFonts w:hint="eastAsia" w:ascii="宋体" w:hAnsi="宋体"/>
          <w:color w:val="000000"/>
          <w:sz w:val="24"/>
        </w:rPr>
        <w:t>管理</w:t>
      </w:r>
      <w:r>
        <w:rPr>
          <w:rFonts w:ascii="宋体" w:hAnsi="宋体"/>
          <w:color w:val="000000"/>
          <w:sz w:val="24"/>
        </w:rPr>
        <w:t>，要与完善惩防体系建设相结合，与落实党风廉政建设责任制相结合，紧紧围绕学校中心工作，将廉政风险防控</w:t>
      </w:r>
      <w:r>
        <w:rPr>
          <w:rFonts w:hint="eastAsia" w:ascii="宋体" w:hAnsi="宋体"/>
          <w:color w:val="000000"/>
          <w:sz w:val="24"/>
        </w:rPr>
        <w:t>管理</w:t>
      </w:r>
      <w:r>
        <w:rPr>
          <w:rFonts w:ascii="宋体" w:hAnsi="宋体"/>
          <w:color w:val="000000"/>
          <w:sz w:val="24"/>
        </w:rPr>
        <w:t>真正融入到学校各项工作之中，</w:t>
      </w:r>
      <w:r>
        <w:rPr>
          <w:rFonts w:hint="eastAsia" w:ascii="宋体" w:hAnsi="宋体"/>
          <w:color w:val="000000"/>
          <w:sz w:val="24"/>
        </w:rPr>
        <w:t>整体安排，同步推进，协调发展，</w:t>
      </w:r>
      <w:r>
        <w:rPr>
          <w:rFonts w:ascii="宋体" w:hAnsi="宋体"/>
          <w:color w:val="000000"/>
          <w:sz w:val="24"/>
        </w:rPr>
        <w:t>避免搞形式，走过场，切实达到监督关口前移、注重预防和降低廉政风险的目的。</w:t>
      </w:r>
    </w:p>
    <w:p>
      <w:pPr>
        <w:widowControl/>
        <w:spacing w:line="480" w:lineRule="exact"/>
        <w:ind w:firstLine="480" w:firstLineChars="200"/>
        <w:rPr>
          <w:rFonts w:hint="eastAsia" w:ascii="宋体" w:hAnsi="宋体" w:cs="宋体"/>
          <w:color w:val="000000"/>
          <w:kern w:val="0"/>
          <w:sz w:val="24"/>
        </w:rPr>
      </w:pPr>
    </w:p>
    <w:p>
      <w:pPr>
        <w:widowControl/>
        <w:spacing w:line="480" w:lineRule="exact"/>
        <w:rPr>
          <w:rFonts w:hint="eastAsia" w:ascii="宋体" w:hAnsi="宋体" w:cs="宋体"/>
          <w:color w:val="000000"/>
          <w:kern w:val="0"/>
          <w:sz w:val="24"/>
        </w:rPr>
      </w:pPr>
      <w:r>
        <w:rPr>
          <w:rFonts w:hint="eastAsia" w:ascii="宋体" w:hAnsi="宋体" w:cs="宋体"/>
          <w:color w:val="000000"/>
          <w:kern w:val="0"/>
          <w:sz w:val="24"/>
        </w:rPr>
        <w:t>附表：1.</w:t>
      </w:r>
      <w:r>
        <w:rPr>
          <w:rFonts w:ascii="宋体" w:hAnsi="宋体"/>
          <w:color w:val="000000"/>
          <w:sz w:val="24"/>
        </w:rPr>
        <w:t>《</w:t>
      </w:r>
      <w:r>
        <w:rPr>
          <w:rFonts w:hint="eastAsia" w:ascii="宋体" w:hAnsi="宋体"/>
          <w:color w:val="000000"/>
          <w:sz w:val="24"/>
        </w:rPr>
        <w:t>西北师范大学个人</w:t>
      </w:r>
      <w:r>
        <w:rPr>
          <w:rFonts w:ascii="宋体" w:hAnsi="宋体"/>
          <w:color w:val="000000"/>
          <w:sz w:val="24"/>
        </w:rPr>
        <w:t>岗位廉政风险防控点排查、定级表》</w:t>
      </w:r>
    </w:p>
    <w:p>
      <w:pPr>
        <w:widowControl/>
        <w:spacing w:line="480" w:lineRule="exact"/>
        <w:ind w:firstLine="480" w:firstLineChars="200"/>
        <w:rPr>
          <w:rFonts w:hint="eastAsia"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西北师范大学</w:t>
      </w:r>
      <w:r>
        <w:rPr>
          <w:rFonts w:ascii="宋体" w:hAnsi="宋体"/>
          <w:color w:val="000000"/>
          <w:sz w:val="24"/>
        </w:rPr>
        <w:t>单位廉政风险防控点排查、定级表》</w:t>
      </w:r>
    </w:p>
    <w:p>
      <w:pPr>
        <w:widowControl/>
        <w:spacing w:line="480" w:lineRule="exact"/>
        <w:ind w:firstLine="480" w:firstLineChars="200"/>
        <w:rPr>
          <w:rFonts w:hint="eastAsia" w:ascii="宋体" w:hAnsi="宋体"/>
          <w:color w:val="000000"/>
          <w:sz w:val="24"/>
        </w:rPr>
      </w:pPr>
      <w:r>
        <w:rPr>
          <w:rFonts w:hint="eastAsia" w:ascii="宋体" w:hAnsi="宋体"/>
          <w:color w:val="000000"/>
          <w:sz w:val="24"/>
        </w:rPr>
        <w:t xml:space="preserve">  3.《西北师范大学廉政风险点及风险等级汇总表》</w:t>
      </w:r>
    </w:p>
    <w:p>
      <w:pPr>
        <w:widowControl/>
        <w:spacing w:line="480" w:lineRule="exact"/>
        <w:ind w:firstLine="480" w:firstLineChars="200"/>
        <w:rPr>
          <w:rFonts w:hint="eastAsia" w:ascii="宋体" w:hAnsi="宋体" w:cs="宋体"/>
          <w:color w:val="000000"/>
          <w:kern w:val="0"/>
          <w:sz w:val="24"/>
        </w:rPr>
      </w:pPr>
      <w:r>
        <w:rPr>
          <w:rFonts w:hint="eastAsia" w:ascii="宋体" w:hAnsi="宋体"/>
          <w:color w:val="000000"/>
          <w:sz w:val="24"/>
        </w:rPr>
        <w:t xml:space="preserve">  4.</w:t>
      </w:r>
      <w:r>
        <w:rPr>
          <w:rFonts w:hint="eastAsia" w:ascii="宋体" w:hAnsi="宋体" w:cs="宋体"/>
          <w:color w:val="000000"/>
          <w:kern w:val="0"/>
          <w:sz w:val="24"/>
        </w:rPr>
        <w:t>《西北师范大学廉政风险点及防控措施登记表》</w:t>
      </w:r>
    </w:p>
    <w:p>
      <w:pPr>
        <w:rPr>
          <w:rFonts w:hint="eastAsia" w:ascii="仿宋_GB2312" w:hAnsi="宋体" w:eastAsia="仿宋_GB2312"/>
          <w:color w:val="000000"/>
          <w:sz w:val="30"/>
          <w:szCs w:val="30"/>
        </w:rPr>
      </w:pPr>
      <w:r>
        <w:rPr>
          <w:rFonts w:ascii="仿宋_GB2312" w:hAnsi="宋体" w:eastAsia="仿宋_GB2312" w:cs="宋体"/>
          <w:color w:val="000000"/>
          <w:kern w:val="0"/>
          <w:sz w:val="32"/>
          <w:szCs w:val="32"/>
        </w:rPr>
        <w:br w:type="page"/>
      </w:r>
      <w:r>
        <w:rPr>
          <w:rFonts w:hint="eastAsia" w:ascii="仿宋_GB2312" w:hAnsi="宋体" w:eastAsia="仿宋_GB2312"/>
          <w:color w:val="000000"/>
          <w:sz w:val="24"/>
          <w:szCs w:val="24"/>
        </w:rPr>
        <w:t>附表1：</w:t>
      </w:r>
    </w:p>
    <w:p>
      <w:pPr>
        <w:rPr>
          <w:rFonts w:hint="eastAsia"/>
          <w:color w:val="000000"/>
        </w:rPr>
      </w:pPr>
    </w:p>
    <w:p>
      <w:pPr>
        <w:spacing w:line="440" w:lineRule="exact"/>
        <w:jc w:val="center"/>
        <w:rPr>
          <w:rFonts w:hint="eastAsia" w:ascii="华文中宋" w:hAnsi="华文中宋" w:eastAsia="华文中宋"/>
          <w:bCs/>
          <w:color w:val="000000"/>
          <w:sz w:val="32"/>
          <w:szCs w:val="32"/>
        </w:rPr>
      </w:pPr>
      <w:r>
        <w:rPr>
          <w:rFonts w:hint="eastAsia" w:ascii="华文中宋" w:hAnsi="华文中宋" w:eastAsia="华文中宋"/>
          <w:bCs/>
          <w:color w:val="000000"/>
          <w:sz w:val="32"/>
          <w:szCs w:val="32"/>
        </w:rPr>
        <w:t>西北师范大学个人岗位廉政风险防控点排查、定级表</w:t>
      </w:r>
    </w:p>
    <w:p>
      <w:pPr>
        <w:spacing w:before="156" w:beforeLines="50" w:after="156" w:afterLines="50" w:line="440" w:lineRule="exact"/>
        <w:jc w:val="left"/>
        <w:rPr>
          <w:rFonts w:hint="eastAsia" w:ascii="仿宋_GB2312" w:hAnsi="宋体" w:eastAsia="仿宋_GB2312"/>
          <w:color w:val="000000"/>
          <w:sz w:val="32"/>
          <w:szCs w:val="32"/>
        </w:rPr>
      </w:pPr>
    </w:p>
    <w:p>
      <w:pPr>
        <w:spacing w:before="156" w:beforeLines="50" w:after="156" w:afterLines="50" w:line="520" w:lineRule="exact"/>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岗位名称：                       </w:t>
      </w:r>
      <w:r>
        <w:rPr>
          <w:rFonts w:hint="eastAsia" w:ascii="仿宋_GB2312" w:hAnsi="宋体" w:eastAsia="仿宋_GB2312"/>
          <w:color w:val="000000"/>
          <w:sz w:val="24"/>
          <w:szCs w:val="24"/>
          <w:lang w:val="en-US" w:eastAsia="zh-CN"/>
        </w:rPr>
        <w:t xml:space="preserve">          </w:t>
      </w:r>
      <w:r>
        <w:rPr>
          <w:rFonts w:hint="eastAsia" w:ascii="仿宋_GB2312" w:hAnsi="宋体" w:eastAsia="仿宋_GB2312"/>
          <w:color w:val="000000"/>
          <w:sz w:val="24"/>
          <w:szCs w:val="24"/>
        </w:rPr>
        <w:t xml:space="preserve">岗位责任人：                </w:t>
      </w:r>
    </w:p>
    <w:p>
      <w:pPr>
        <w:spacing w:before="156" w:beforeLines="50" w:after="156" w:afterLines="50" w:line="520" w:lineRule="exact"/>
        <w:jc w:val="left"/>
        <w:rPr>
          <w:rFonts w:hint="eastAsia" w:ascii="仿宋_GB2312" w:hAnsi="宋体" w:eastAsia="仿宋_GB2312"/>
          <w:color w:val="000000"/>
          <w:sz w:val="24"/>
          <w:szCs w:val="24"/>
        </w:rPr>
      </w:pPr>
      <w:r>
        <w:rPr>
          <w:rFonts w:hint="eastAsia" w:ascii="仿宋_GB2312" w:hAnsi="黑体" w:eastAsia="仿宋_GB2312"/>
          <w:color w:val="000000"/>
          <w:sz w:val="24"/>
          <w:szCs w:val="24"/>
        </w:rPr>
        <w:t xml:space="preserve">审核人（单位领导）：              </w:t>
      </w:r>
      <w:r>
        <w:rPr>
          <w:rFonts w:hint="eastAsia" w:ascii="仿宋_GB2312" w:hAnsi="黑体" w:eastAsia="仿宋_GB2312"/>
          <w:color w:val="000000"/>
          <w:sz w:val="24"/>
          <w:szCs w:val="24"/>
          <w:lang w:val="en-US" w:eastAsia="zh-CN"/>
        </w:rPr>
        <w:t xml:space="preserve">          </w:t>
      </w:r>
      <w:r>
        <w:rPr>
          <w:rFonts w:hint="eastAsia" w:ascii="仿宋_GB2312" w:hAnsi="宋体" w:eastAsia="仿宋_GB2312"/>
          <w:color w:val="000000"/>
          <w:sz w:val="24"/>
          <w:szCs w:val="24"/>
        </w:rPr>
        <w:t>日期：  年  月  日</w:t>
      </w:r>
    </w:p>
    <w:tbl>
      <w:tblPr>
        <w:tblStyle w:val="3"/>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558"/>
        <w:gridCol w:w="720"/>
        <w:gridCol w:w="720"/>
        <w:gridCol w:w="72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442" w:type="dxa"/>
            <w:vMerge w:val="restart"/>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岗位职责内容</w:t>
            </w:r>
          </w:p>
        </w:tc>
        <w:tc>
          <w:tcPr>
            <w:tcW w:w="2558" w:type="dxa"/>
            <w:vMerge w:val="restart"/>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风险防控点</w:t>
            </w:r>
          </w:p>
        </w:tc>
        <w:tc>
          <w:tcPr>
            <w:tcW w:w="3951" w:type="dxa"/>
            <w:gridSpan w:val="4"/>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自评岗位廉政风险等级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442" w:type="dxa"/>
            <w:vMerge w:val="continue"/>
            <w:vAlign w:val="center"/>
          </w:tcPr>
          <w:p>
            <w:pPr>
              <w:jc w:val="center"/>
              <w:rPr>
                <w:rFonts w:hint="eastAsia" w:ascii="仿宋_GB2312" w:hAnsi="宋体" w:eastAsia="仿宋_GB2312"/>
                <w:color w:val="000000"/>
                <w:sz w:val="24"/>
                <w:szCs w:val="24"/>
              </w:rPr>
            </w:pPr>
          </w:p>
        </w:tc>
        <w:tc>
          <w:tcPr>
            <w:tcW w:w="2558" w:type="dxa"/>
            <w:vMerge w:val="continue"/>
            <w:vAlign w:val="center"/>
          </w:tcPr>
          <w:p>
            <w:pPr>
              <w:ind w:firstLine="643"/>
              <w:jc w:val="center"/>
              <w:rPr>
                <w:rFonts w:hint="eastAsia" w:ascii="仿宋_GB2312" w:hAnsi="宋体" w:eastAsia="仿宋_GB2312"/>
                <w:color w:val="000000"/>
                <w:sz w:val="24"/>
                <w:szCs w:val="24"/>
              </w:rPr>
            </w:pPr>
          </w:p>
        </w:tc>
        <w:tc>
          <w:tcPr>
            <w:tcW w:w="720"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高</w:t>
            </w:r>
          </w:p>
        </w:tc>
        <w:tc>
          <w:tcPr>
            <w:tcW w:w="720"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中</w:t>
            </w:r>
          </w:p>
        </w:tc>
        <w:tc>
          <w:tcPr>
            <w:tcW w:w="720"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低</w:t>
            </w:r>
          </w:p>
        </w:tc>
        <w:tc>
          <w:tcPr>
            <w:tcW w:w="1791"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综合等级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2442" w:type="dxa"/>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1.</w:t>
            </w:r>
          </w:p>
        </w:tc>
        <w:tc>
          <w:tcPr>
            <w:tcW w:w="2558" w:type="dxa"/>
            <w:vAlign w:val="center"/>
          </w:tcPr>
          <w:p>
            <w:pPr>
              <w:rPr>
                <w:rFonts w:hint="eastAsia" w:ascii="仿宋_GB2312" w:hAnsi="宋体" w:eastAsia="仿宋_GB2312"/>
                <w:color w:val="000000"/>
                <w:sz w:val="24"/>
                <w:szCs w:val="24"/>
              </w:rPr>
            </w:pPr>
          </w:p>
        </w:tc>
        <w:tc>
          <w:tcPr>
            <w:tcW w:w="720" w:type="dxa"/>
            <w:vAlign w:val="center"/>
          </w:tcPr>
          <w:p>
            <w:pPr>
              <w:rPr>
                <w:rFonts w:hint="eastAsia" w:ascii="仿宋_GB2312" w:hAnsi="宋体" w:eastAsia="仿宋_GB2312"/>
                <w:color w:val="000000"/>
                <w:sz w:val="24"/>
                <w:szCs w:val="24"/>
              </w:rPr>
            </w:pPr>
          </w:p>
        </w:tc>
        <w:tc>
          <w:tcPr>
            <w:tcW w:w="720" w:type="dxa"/>
            <w:vAlign w:val="center"/>
          </w:tcPr>
          <w:p>
            <w:pPr>
              <w:rPr>
                <w:rFonts w:hint="eastAsia" w:ascii="仿宋_GB2312" w:hAnsi="宋体" w:eastAsia="仿宋_GB2312"/>
                <w:color w:val="000000"/>
                <w:sz w:val="24"/>
                <w:szCs w:val="24"/>
              </w:rPr>
            </w:pPr>
          </w:p>
        </w:tc>
        <w:tc>
          <w:tcPr>
            <w:tcW w:w="720" w:type="dxa"/>
            <w:vAlign w:val="center"/>
          </w:tcPr>
          <w:p>
            <w:pPr>
              <w:rPr>
                <w:rFonts w:hint="eastAsia" w:ascii="仿宋_GB2312" w:hAnsi="宋体" w:eastAsia="仿宋_GB2312"/>
                <w:color w:val="000000"/>
                <w:sz w:val="24"/>
                <w:szCs w:val="24"/>
              </w:rPr>
            </w:pPr>
          </w:p>
        </w:tc>
        <w:tc>
          <w:tcPr>
            <w:tcW w:w="1791" w:type="dxa"/>
            <w:vMerge w:val="restart"/>
            <w:vAlign w:val="center"/>
          </w:tcPr>
          <w:p>
            <w:pP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2442" w:type="dxa"/>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2.</w:t>
            </w:r>
          </w:p>
        </w:tc>
        <w:tc>
          <w:tcPr>
            <w:tcW w:w="2558"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1791" w:type="dxa"/>
            <w:vMerge w:val="continue"/>
            <w:vAlign w:val="center"/>
          </w:tcPr>
          <w:p>
            <w:pPr>
              <w:rPr>
                <w:rFonts w:hint="eastAsia"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2442" w:type="dxa"/>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3.</w:t>
            </w:r>
          </w:p>
        </w:tc>
        <w:tc>
          <w:tcPr>
            <w:tcW w:w="2558"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1791" w:type="dxa"/>
            <w:vMerge w:val="continue"/>
            <w:vAlign w:val="center"/>
          </w:tcPr>
          <w:p>
            <w:pPr>
              <w:rPr>
                <w:rFonts w:hint="eastAsia"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2442" w:type="dxa"/>
            <w:vAlign w:val="center"/>
          </w:tcPr>
          <w:p>
            <w:pPr>
              <w:rPr>
                <w:rFonts w:hint="eastAsia" w:ascii="仿宋_GB2312" w:hAnsi="宋体" w:eastAsia="仿宋_GB2312"/>
                <w:color w:val="000000"/>
                <w:sz w:val="24"/>
                <w:szCs w:val="24"/>
              </w:rPr>
            </w:pPr>
            <w:r>
              <w:rPr>
                <w:rFonts w:ascii="仿宋_GB2312" w:hAnsi="宋体" w:eastAsia="仿宋_GB2312"/>
                <w:color w:val="000000"/>
                <w:sz w:val="24"/>
                <w:szCs w:val="24"/>
              </w:rPr>
              <w:t>…</w:t>
            </w:r>
          </w:p>
        </w:tc>
        <w:tc>
          <w:tcPr>
            <w:tcW w:w="2558"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1791" w:type="dxa"/>
            <w:vMerge w:val="continue"/>
            <w:vAlign w:val="center"/>
          </w:tcPr>
          <w:p>
            <w:pPr>
              <w:rPr>
                <w:rFonts w:hint="eastAsia"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2442" w:type="dxa"/>
            <w:vAlign w:val="center"/>
          </w:tcPr>
          <w:p>
            <w:pPr>
              <w:jc w:val="center"/>
              <w:rPr>
                <w:rFonts w:hint="eastAsia" w:ascii="宋体" w:hAnsi="宋体"/>
                <w:color w:val="000000"/>
                <w:sz w:val="24"/>
                <w:szCs w:val="24"/>
              </w:rPr>
            </w:pPr>
          </w:p>
        </w:tc>
        <w:tc>
          <w:tcPr>
            <w:tcW w:w="2558"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1791" w:type="dxa"/>
            <w:vMerge w:val="continue"/>
            <w:vAlign w:val="center"/>
          </w:tcPr>
          <w:p>
            <w:pPr>
              <w:rPr>
                <w:rFonts w:hint="eastAsia"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2442" w:type="dxa"/>
            <w:vAlign w:val="center"/>
          </w:tcPr>
          <w:p>
            <w:pPr>
              <w:jc w:val="center"/>
              <w:rPr>
                <w:rFonts w:hint="eastAsia" w:ascii="宋体" w:hAnsi="宋体"/>
                <w:color w:val="000000"/>
                <w:sz w:val="24"/>
                <w:szCs w:val="24"/>
              </w:rPr>
            </w:pPr>
          </w:p>
        </w:tc>
        <w:tc>
          <w:tcPr>
            <w:tcW w:w="2558"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1791" w:type="dxa"/>
            <w:vMerge w:val="continue"/>
            <w:vAlign w:val="center"/>
          </w:tcPr>
          <w:p>
            <w:pPr>
              <w:rPr>
                <w:rFonts w:hint="eastAsia"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2442" w:type="dxa"/>
            <w:vAlign w:val="center"/>
          </w:tcPr>
          <w:p>
            <w:pPr>
              <w:jc w:val="center"/>
              <w:rPr>
                <w:rFonts w:hint="eastAsia" w:ascii="宋体" w:hAnsi="宋体"/>
                <w:color w:val="000000"/>
                <w:sz w:val="24"/>
                <w:szCs w:val="24"/>
              </w:rPr>
            </w:pPr>
          </w:p>
        </w:tc>
        <w:tc>
          <w:tcPr>
            <w:tcW w:w="2558"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720" w:type="dxa"/>
            <w:vAlign w:val="center"/>
          </w:tcPr>
          <w:p>
            <w:pPr>
              <w:rPr>
                <w:rFonts w:hint="eastAsia" w:ascii="宋体" w:hAnsi="宋体"/>
                <w:b/>
                <w:color w:val="000000"/>
                <w:sz w:val="24"/>
                <w:szCs w:val="24"/>
              </w:rPr>
            </w:pPr>
          </w:p>
        </w:tc>
        <w:tc>
          <w:tcPr>
            <w:tcW w:w="1791" w:type="dxa"/>
            <w:vMerge w:val="continue"/>
            <w:vAlign w:val="center"/>
          </w:tcPr>
          <w:p>
            <w:pPr>
              <w:rPr>
                <w:rFonts w:hint="eastAsia" w:ascii="宋体" w:hAnsi="宋体"/>
                <w:b/>
                <w:color w:val="000000"/>
                <w:sz w:val="24"/>
                <w:szCs w:val="24"/>
              </w:rPr>
            </w:pPr>
          </w:p>
        </w:tc>
      </w:tr>
    </w:tbl>
    <w:p>
      <w:pPr>
        <w:spacing w:line="440" w:lineRule="exact"/>
        <w:rPr>
          <w:rFonts w:hint="eastAsia" w:ascii="仿宋_GB2312" w:hAnsi="华文中宋" w:eastAsia="仿宋_GB2312"/>
          <w:color w:val="000000"/>
          <w:sz w:val="28"/>
          <w:szCs w:val="28"/>
        </w:rPr>
      </w:pPr>
      <w:bookmarkStart w:id="0" w:name="_Toc278282427"/>
    </w:p>
    <w:p>
      <w:pPr>
        <w:spacing w:line="440" w:lineRule="exact"/>
        <w:rPr>
          <w:rFonts w:hint="eastAsia" w:ascii="仿宋_GB2312" w:hAnsi="华文中宋" w:eastAsia="仿宋_GB2312"/>
          <w:color w:val="000000"/>
          <w:sz w:val="30"/>
          <w:szCs w:val="30"/>
        </w:rPr>
      </w:pPr>
      <w:r>
        <w:rPr>
          <w:rFonts w:hint="eastAsia" w:ascii="仿宋_GB2312" w:hAnsi="华文中宋" w:eastAsia="仿宋_GB2312"/>
          <w:color w:val="000000"/>
          <w:sz w:val="24"/>
          <w:szCs w:val="24"/>
        </w:rPr>
        <w:t>附表2：</w:t>
      </w:r>
    </w:p>
    <w:p>
      <w:pPr>
        <w:spacing w:line="440" w:lineRule="exact"/>
        <w:rPr>
          <w:rFonts w:hint="eastAsia" w:ascii="仿宋_GB2312" w:hAnsi="华文中宋" w:eastAsia="仿宋_GB2312"/>
          <w:color w:val="000000"/>
          <w:sz w:val="30"/>
          <w:szCs w:val="30"/>
        </w:rPr>
      </w:pPr>
    </w:p>
    <w:p>
      <w:pPr>
        <w:spacing w:line="440" w:lineRule="exact"/>
        <w:jc w:val="center"/>
        <w:rPr>
          <w:rFonts w:hint="eastAsia" w:ascii="华文中宋" w:hAnsi="华文中宋" w:eastAsia="华文中宋"/>
          <w:bCs/>
          <w:color w:val="000000"/>
          <w:sz w:val="36"/>
          <w:szCs w:val="36"/>
        </w:rPr>
      </w:pPr>
      <w:r>
        <w:rPr>
          <w:rFonts w:hint="eastAsia" w:ascii="华文中宋" w:hAnsi="华文中宋" w:eastAsia="华文中宋"/>
          <w:bCs/>
          <w:color w:val="000000"/>
          <w:sz w:val="32"/>
          <w:szCs w:val="32"/>
        </w:rPr>
        <w:t>西北师范大学单位岗位廉政风险防控点排查、定级表</w:t>
      </w:r>
      <w:bookmarkEnd w:id="0"/>
    </w:p>
    <w:p>
      <w:pPr>
        <w:spacing w:line="440" w:lineRule="exact"/>
        <w:rPr>
          <w:rFonts w:hint="eastAsia" w:ascii="仿宋_GB2312" w:hAnsi="黑体" w:eastAsia="仿宋_GB2312"/>
          <w:color w:val="000000"/>
          <w:sz w:val="32"/>
          <w:szCs w:val="32"/>
        </w:rPr>
      </w:pPr>
    </w:p>
    <w:p>
      <w:pPr>
        <w:spacing w:line="520" w:lineRule="exact"/>
        <w:rPr>
          <w:rFonts w:hint="eastAsia" w:ascii="仿宋_GB2312" w:hAnsi="黑体" w:eastAsia="仿宋_GB2312"/>
          <w:color w:val="000000"/>
          <w:sz w:val="24"/>
          <w:szCs w:val="24"/>
        </w:rPr>
      </w:pPr>
      <w:r>
        <w:rPr>
          <w:rFonts w:hint="eastAsia" w:ascii="仿宋_GB2312" w:hAnsi="黑体" w:eastAsia="仿宋_GB2312"/>
          <w:color w:val="000000"/>
          <w:sz w:val="24"/>
          <w:szCs w:val="24"/>
        </w:rPr>
        <w:t xml:space="preserve">单位名称：                      </w:t>
      </w:r>
      <w:r>
        <w:rPr>
          <w:rFonts w:hint="eastAsia" w:ascii="仿宋_GB2312" w:hAnsi="黑体" w:eastAsia="仿宋_GB2312"/>
          <w:color w:val="000000"/>
          <w:sz w:val="24"/>
          <w:szCs w:val="24"/>
          <w:lang w:val="en-US" w:eastAsia="zh-CN"/>
        </w:rPr>
        <w:t xml:space="preserve">             </w:t>
      </w:r>
      <w:r>
        <w:rPr>
          <w:rFonts w:hint="eastAsia" w:ascii="仿宋_GB2312" w:hAnsi="黑体" w:eastAsia="仿宋_GB2312"/>
          <w:color w:val="000000"/>
          <w:sz w:val="24"/>
          <w:szCs w:val="24"/>
        </w:rPr>
        <w:t>单位负责人：</w:t>
      </w:r>
    </w:p>
    <w:p>
      <w:pPr>
        <w:spacing w:line="520" w:lineRule="exact"/>
        <w:rPr>
          <w:rFonts w:hint="eastAsia" w:ascii="仿宋_GB2312" w:hAnsi="黑体" w:eastAsia="仿宋_GB2312"/>
          <w:color w:val="000000"/>
          <w:sz w:val="24"/>
          <w:szCs w:val="24"/>
        </w:rPr>
      </w:pPr>
      <w:r>
        <w:rPr>
          <w:rFonts w:hint="eastAsia" w:ascii="仿宋_GB2312" w:hAnsi="黑体" w:eastAsia="仿宋_GB2312"/>
          <w:color w:val="000000"/>
          <w:sz w:val="24"/>
          <w:szCs w:val="24"/>
        </w:rPr>
        <w:t xml:space="preserve">审核人（分管校领导）：           </w:t>
      </w:r>
      <w:r>
        <w:rPr>
          <w:rFonts w:hint="eastAsia" w:ascii="仿宋_GB2312" w:hAnsi="黑体" w:eastAsia="仿宋_GB2312"/>
          <w:color w:val="000000"/>
          <w:sz w:val="24"/>
          <w:szCs w:val="24"/>
          <w:lang w:val="en-US" w:eastAsia="zh-CN"/>
        </w:rPr>
        <w:t xml:space="preserve">             </w:t>
      </w:r>
      <w:r>
        <w:rPr>
          <w:rFonts w:hint="eastAsia" w:ascii="仿宋_GB2312" w:hAnsi="黑体" w:eastAsia="仿宋_GB2312"/>
          <w:color w:val="000000"/>
          <w:sz w:val="24"/>
          <w:szCs w:val="24"/>
        </w:rPr>
        <w:t>日期：  年  月  日</w:t>
      </w:r>
    </w:p>
    <w:tbl>
      <w:tblPr>
        <w:tblStyle w:val="3"/>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1781"/>
        <w:gridCol w:w="1260"/>
        <w:gridCol w:w="1260"/>
        <w:gridCol w:w="118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239" w:type="dxa"/>
            <w:gridSpan w:val="2"/>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岗位设置</w:t>
            </w:r>
          </w:p>
        </w:tc>
        <w:tc>
          <w:tcPr>
            <w:tcW w:w="3706" w:type="dxa"/>
            <w:gridSpan w:val="3"/>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岗位风险等级</w:t>
            </w:r>
          </w:p>
        </w:tc>
        <w:tc>
          <w:tcPr>
            <w:tcW w:w="1267"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岗  位</w:t>
            </w:r>
          </w:p>
        </w:tc>
        <w:tc>
          <w:tcPr>
            <w:tcW w:w="1781"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责任人</w:t>
            </w:r>
          </w:p>
        </w:tc>
        <w:tc>
          <w:tcPr>
            <w:tcW w:w="1260"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高</w:t>
            </w:r>
          </w:p>
        </w:tc>
        <w:tc>
          <w:tcPr>
            <w:tcW w:w="1260"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中</w:t>
            </w:r>
          </w:p>
        </w:tc>
        <w:tc>
          <w:tcPr>
            <w:tcW w:w="1186" w:type="dxa"/>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低</w:t>
            </w:r>
          </w:p>
        </w:tc>
        <w:tc>
          <w:tcPr>
            <w:tcW w:w="1267" w:type="dxa"/>
            <w:vAlign w:val="center"/>
          </w:tcPr>
          <w:p>
            <w:pPr>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1.</w:t>
            </w:r>
          </w:p>
        </w:tc>
        <w:tc>
          <w:tcPr>
            <w:tcW w:w="1781" w:type="dxa"/>
            <w:vAlign w:val="center"/>
          </w:tcPr>
          <w:p>
            <w:pPr>
              <w:spacing w:line="360" w:lineRule="exact"/>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186" w:type="dxa"/>
            <w:vAlign w:val="center"/>
          </w:tcPr>
          <w:p>
            <w:pPr>
              <w:jc w:val="center"/>
              <w:rPr>
                <w:rFonts w:hint="eastAsia" w:ascii="仿宋_GB2312" w:hAnsi="宋体" w:eastAsia="仿宋_GB2312"/>
                <w:color w:val="000000"/>
                <w:sz w:val="24"/>
                <w:szCs w:val="24"/>
              </w:rPr>
            </w:pPr>
          </w:p>
        </w:tc>
        <w:tc>
          <w:tcPr>
            <w:tcW w:w="1267" w:type="dxa"/>
            <w:vAlign w:val="center"/>
          </w:tcPr>
          <w:p>
            <w:pPr>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2.</w:t>
            </w:r>
          </w:p>
        </w:tc>
        <w:tc>
          <w:tcPr>
            <w:tcW w:w="1781" w:type="dxa"/>
            <w:vAlign w:val="center"/>
          </w:tcPr>
          <w:p>
            <w:pPr>
              <w:spacing w:line="360" w:lineRule="exact"/>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186" w:type="dxa"/>
            <w:vAlign w:val="center"/>
          </w:tcPr>
          <w:p>
            <w:pPr>
              <w:jc w:val="center"/>
              <w:rPr>
                <w:rFonts w:hint="eastAsia" w:ascii="仿宋_GB2312" w:hAnsi="宋体" w:eastAsia="仿宋_GB2312"/>
                <w:color w:val="000000"/>
                <w:sz w:val="24"/>
                <w:szCs w:val="24"/>
              </w:rPr>
            </w:pPr>
          </w:p>
        </w:tc>
        <w:tc>
          <w:tcPr>
            <w:tcW w:w="1267" w:type="dxa"/>
            <w:vAlign w:val="center"/>
          </w:tcPr>
          <w:p>
            <w:pPr>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3.</w:t>
            </w:r>
          </w:p>
        </w:tc>
        <w:tc>
          <w:tcPr>
            <w:tcW w:w="1781" w:type="dxa"/>
            <w:vAlign w:val="center"/>
          </w:tcPr>
          <w:p>
            <w:pPr>
              <w:spacing w:line="360" w:lineRule="exact"/>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186" w:type="dxa"/>
            <w:vAlign w:val="center"/>
          </w:tcPr>
          <w:p>
            <w:pPr>
              <w:jc w:val="center"/>
              <w:rPr>
                <w:rFonts w:hint="eastAsia" w:ascii="仿宋_GB2312" w:hAnsi="宋体" w:eastAsia="仿宋_GB2312"/>
                <w:color w:val="000000"/>
                <w:sz w:val="24"/>
                <w:szCs w:val="24"/>
              </w:rPr>
            </w:pPr>
          </w:p>
        </w:tc>
        <w:tc>
          <w:tcPr>
            <w:tcW w:w="1267" w:type="dxa"/>
            <w:vAlign w:val="center"/>
          </w:tcPr>
          <w:p>
            <w:pPr>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rPr>
                <w:rFonts w:hint="eastAsia" w:ascii="仿宋_GB2312" w:hAnsi="宋体" w:eastAsia="仿宋_GB2312"/>
                <w:color w:val="000000"/>
                <w:sz w:val="24"/>
                <w:szCs w:val="24"/>
                <w:u w:val="single"/>
              </w:rPr>
            </w:pPr>
            <w:r>
              <w:rPr>
                <w:rFonts w:ascii="仿宋_GB2312" w:hAnsi="宋体" w:eastAsia="仿宋_GB2312"/>
                <w:color w:val="000000"/>
                <w:sz w:val="24"/>
                <w:szCs w:val="24"/>
              </w:rPr>
              <w:t>…</w:t>
            </w:r>
          </w:p>
        </w:tc>
        <w:tc>
          <w:tcPr>
            <w:tcW w:w="1781" w:type="dxa"/>
            <w:vAlign w:val="center"/>
          </w:tcPr>
          <w:p>
            <w:pPr>
              <w:spacing w:line="360" w:lineRule="exact"/>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186" w:type="dxa"/>
            <w:vAlign w:val="center"/>
          </w:tcPr>
          <w:p>
            <w:pPr>
              <w:jc w:val="center"/>
              <w:rPr>
                <w:rFonts w:hint="eastAsia" w:ascii="仿宋_GB2312" w:hAnsi="宋体" w:eastAsia="仿宋_GB2312"/>
                <w:color w:val="000000"/>
                <w:sz w:val="24"/>
                <w:szCs w:val="24"/>
              </w:rPr>
            </w:pPr>
          </w:p>
        </w:tc>
        <w:tc>
          <w:tcPr>
            <w:tcW w:w="1267" w:type="dxa"/>
            <w:vAlign w:val="center"/>
          </w:tcPr>
          <w:p>
            <w:pPr>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rPr>
                <w:rFonts w:hint="eastAsia" w:ascii="仿宋_GB2312" w:hAnsi="宋体" w:eastAsia="仿宋_GB2312"/>
                <w:color w:val="000000"/>
                <w:sz w:val="24"/>
                <w:szCs w:val="24"/>
              </w:rPr>
            </w:pPr>
          </w:p>
        </w:tc>
        <w:tc>
          <w:tcPr>
            <w:tcW w:w="1781" w:type="dxa"/>
            <w:vAlign w:val="center"/>
          </w:tcPr>
          <w:p>
            <w:pPr>
              <w:spacing w:line="360" w:lineRule="exact"/>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186" w:type="dxa"/>
            <w:vAlign w:val="center"/>
          </w:tcPr>
          <w:p>
            <w:pPr>
              <w:jc w:val="center"/>
              <w:rPr>
                <w:rFonts w:hint="eastAsia" w:ascii="仿宋_GB2312" w:hAnsi="宋体" w:eastAsia="仿宋_GB2312"/>
                <w:color w:val="000000"/>
                <w:sz w:val="24"/>
                <w:szCs w:val="24"/>
              </w:rPr>
            </w:pPr>
          </w:p>
        </w:tc>
        <w:tc>
          <w:tcPr>
            <w:tcW w:w="1267" w:type="dxa"/>
            <w:vAlign w:val="center"/>
          </w:tcPr>
          <w:p>
            <w:pPr>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rPr>
                <w:rFonts w:hint="eastAsia" w:ascii="仿宋_GB2312" w:hAnsi="宋体" w:eastAsia="仿宋_GB2312"/>
                <w:color w:val="000000"/>
                <w:sz w:val="24"/>
                <w:szCs w:val="24"/>
              </w:rPr>
            </w:pPr>
          </w:p>
        </w:tc>
        <w:tc>
          <w:tcPr>
            <w:tcW w:w="1781" w:type="dxa"/>
            <w:vAlign w:val="center"/>
          </w:tcPr>
          <w:p>
            <w:pPr>
              <w:spacing w:line="360" w:lineRule="exact"/>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186" w:type="dxa"/>
            <w:vAlign w:val="center"/>
          </w:tcPr>
          <w:p>
            <w:pPr>
              <w:jc w:val="center"/>
              <w:rPr>
                <w:rFonts w:hint="eastAsia" w:ascii="仿宋_GB2312" w:hAnsi="宋体" w:eastAsia="仿宋_GB2312"/>
                <w:color w:val="000000"/>
                <w:sz w:val="24"/>
                <w:szCs w:val="24"/>
              </w:rPr>
            </w:pPr>
          </w:p>
        </w:tc>
        <w:tc>
          <w:tcPr>
            <w:tcW w:w="1267" w:type="dxa"/>
            <w:vAlign w:val="center"/>
          </w:tcPr>
          <w:p>
            <w:pPr>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458" w:type="dxa"/>
            <w:vAlign w:val="center"/>
          </w:tcPr>
          <w:p>
            <w:pPr>
              <w:rPr>
                <w:rFonts w:hint="eastAsia" w:ascii="仿宋_GB2312" w:hAnsi="宋体" w:eastAsia="仿宋_GB2312"/>
                <w:color w:val="000000"/>
                <w:sz w:val="24"/>
                <w:szCs w:val="24"/>
              </w:rPr>
            </w:pPr>
          </w:p>
        </w:tc>
        <w:tc>
          <w:tcPr>
            <w:tcW w:w="1781" w:type="dxa"/>
            <w:vAlign w:val="center"/>
          </w:tcPr>
          <w:p>
            <w:pPr>
              <w:spacing w:line="360" w:lineRule="exact"/>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260" w:type="dxa"/>
            <w:vAlign w:val="center"/>
          </w:tcPr>
          <w:p>
            <w:pPr>
              <w:jc w:val="center"/>
              <w:rPr>
                <w:rFonts w:hint="eastAsia" w:ascii="仿宋_GB2312" w:hAnsi="宋体" w:eastAsia="仿宋_GB2312"/>
                <w:color w:val="000000"/>
                <w:sz w:val="24"/>
                <w:szCs w:val="24"/>
              </w:rPr>
            </w:pPr>
          </w:p>
        </w:tc>
        <w:tc>
          <w:tcPr>
            <w:tcW w:w="1186" w:type="dxa"/>
            <w:vAlign w:val="center"/>
          </w:tcPr>
          <w:p>
            <w:pPr>
              <w:jc w:val="center"/>
              <w:rPr>
                <w:rFonts w:hint="eastAsia" w:ascii="仿宋_GB2312" w:hAnsi="宋体" w:eastAsia="仿宋_GB2312"/>
                <w:color w:val="000000"/>
                <w:sz w:val="24"/>
                <w:szCs w:val="24"/>
              </w:rPr>
            </w:pPr>
          </w:p>
        </w:tc>
        <w:tc>
          <w:tcPr>
            <w:tcW w:w="1267" w:type="dxa"/>
            <w:vAlign w:val="center"/>
          </w:tcPr>
          <w:p>
            <w:pPr>
              <w:jc w:val="center"/>
              <w:rPr>
                <w:rFonts w:hint="eastAsia" w:ascii="仿宋_GB2312" w:hAnsi="宋体" w:eastAsia="仿宋_GB2312"/>
                <w:color w:val="000000"/>
                <w:sz w:val="24"/>
                <w:szCs w:val="24"/>
              </w:rPr>
            </w:pPr>
          </w:p>
        </w:tc>
      </w:tr>
    </w:tbl>
    <w:p>
      <w:pPr>
        <w:spacing w:line="440" w:lineRule="exact"/>
        <w:rPr>
          <w:rFonts w:hint="eastAsia" w:ascii="仿宋_GB2312" w:hAnsi="华文中宋" w:eastAsia="仿宋_GB2312"/>
          <w:color w:val="000000"/>
          <w:sz w:val="24"/>
          <w:szCs w:val="24"/>
        </w:rPr>
      </w:pPr>
      <w:r>
        <w:rPr>
          <w:rFonts w:hint="eastAsia" w:ascii="仿宋_GB2312" w:hAnsi="华文中宋" w:eastAsia="仿宋_GB2312"/>
          <w:color w:val="000000"/>
          <w:sz w:val="24"/>
          <w:szCs w:val="24"/>
        </w:rPr>
        <w:t>附表3：</w:t>
      </w:r>
    </w:p>
    <w:p>
      <w:pPr>
        <w:spacing w:line="440" w:lineRule="exact"/>
        <w:rPr>
          <w:rFonts w:hint="eastAsia" w:ascii="仿宋_GB2312" w:hAnsi="华文中宋" w:eastAsia="仿宋_GB2312"/>
          <w:color w:val="000000"/>
          <w:sz w:val="30"/>
          <w:szCs w:val="30"/>
        </w:rPr>
      </w:pPr>
    </w:p>
    <w:p>
      <w:pPr>
        <w:spacing w:line="480" w:lineRule="exact"/>
        <w:jc w:val="center"/>
        <w:rPr>
          <w:rFonts w:hint="eastAsia" w:ascii="华文中宋" w:hAnsi="华文中宋" w:eastAsia="华文中宋"/>
          <w:bCs/>
          <w:color w:val="000000"/>
          <w:sz w:val="32"/>
          <w:szCs w:val="32"/>
        </w:rPr>
      </w:pPr>
      <w:r>
        <w:rPr>
          <w:rFonts w:hint="eastAsia" w:ascii="华文中宋" w:hAnsi="华文中宋" w:eastAsia="华文中宋"/>
          <w:bCs/>
          <w:color w:val="000000"/>
          <w:sz w:val="32"/>
          <w:szCs w:val="32"/>
        </w:rPr>
        <w:t>西北师范大学廉政风险点及风险等级汇总表</w:t>
      </w:r>
    </w:p>
    <w:p>
      <w:pPr>
        <w:spacing w:line="520" w:lineRule="exact"/>
        <w:ind w:right="560"/>
        <w:rPr>
          <w:rFonts w:hint="eastAsia" w:ascii="仿宋_GB2312" w:eastAsia="仿宋_GB2312"/>
          <w:color w:val="000000"/>
          <w:sz w:val="28"/>
        </w:rPr>
      </w:pPr>
    </w:p>
    <w:p>
      <w:pPr>
        <w:spacing w:line="520" w:lineRule="exact"/>
        <w:ind w:right="560"/>
        <w:rPr>
          <w:rFonts w:hint="eastAsia" w:ascii="仿宋_GB2312" w:hAnsi="黑体" w:eastAsia="仿宋_GB2312"/>
          <w:color w:val="000000"/>
          <w:sz w:val="24"/>
          <w:szCs w:val="24"/>
        </w:rPr>
      </w:pPr>
      <w:r>
        <w:rPr>
          <w:rFonts w:hint="eastAsia" w:ascii="仿宋_GB2312" w:eastAsia="仿宋_GB2312"/>
          <w:color w:val="000000"/>
          <w:sz w:val="24"/>
          <w:szCs w:val="24"/>
        </w:rPr>
        <w:t xml:space="preserve">单位名称：                        </w:t>
      </w:r>
      <w:r>
        <w:rPr>
          <w:rFonts w:hint="eastAsia" w:ascii="仿宋_GB2312" w:eastAsia="仿宋_GB2312"/>
          <w:color w:val="000000"/>
          <w:sz w:val="24"/>
          <w:szCs w:val="24"/>
          <w:lang w:val="en-US" w:eastAsia="zh-CN"/>
        </w:rPr>
        <w:t xml:space="preserve">        </w:t>
      </w:r>
      <w:r>
        <w:rPr>
          <w:rFonts w:hint="eastAsia" w:ascii="仿宋_GB2312" w:hAnsi="黑体" w:eastAsia="仿宋_GB2312"/>
          <w:color w:val="000000"/>
          <w:sz w:val="24"/>
          <w:szCs w:val="24"/>
        </w:rPr>
        <w:t>单位负责人：</w:t>
      </w:r>
    </w:p>
    <w:p>
      <w:pPr>
        <w:spacing w:line="520" w:lineRule="exact"/>
        <w:rPr>
          <w:rFonts w:hint="eastAsia" w:ascii="仿宋_GB2312" w:hAnsi="黑体" w:eastAsia="仿宋_GB2312"/>
          <w:color w:val="000000"/>
          <w:sz w:val="24"/>
          <w:szCs w:val="24"/>
        </w:rPr>
      </w:pPr>
      <w:r>
        <w:rPr>
          <w:rFonts w:hint="eastAsia" w:ascii="仿宋_GB2312" w:hAnsi="黑体" w:eastAsia="仿宋_GB2312"/>
          <w:color w:val="000000"/>
          <w:sz w:val="24"/>
          <w:szCs w:val="24"/>
        </w:rPr>
        <w:t xml:space="preserve">审核人（分管校领导）：           </w:t>
      </w:r>
      <w:r>
        <w:rPr>
          <w:rFonts w:hint="eastAsia" w:ascii="仿宋_GB2312" w:hAnsi="黑体" w:eastAsia="仿宋_GB2312"/>
          <w:color w:val="000000"/>
          <w:sz w:val="24"/>
          <w:szCs w:val="24"/>
          <w:lang w:val="en-US" w:eastAsia="zh-CN"/>
        </w:rPr>
        <w:t xml:space="preserve">          </w:t>
      </w:r>
      <w:r>
        <w:rPr>
          <w:rFonts w:hint="eastAsia" w:ascii="仿宋_GB2312" w:hAnsi="黑体" w:eastAsia="仿宋_GB2312"/>
          <w:color w:val="000000"/>
          <w:sz w:val="24"/>
          <w:szCs w:val="24"/>
        </w:rPr>
        <w:t>日期：  年  月  日</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620"/>
        <w:gridCol w:w="288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center"/>
          </w:tcPr>
          <w:p>
            <w:pPr>
              <w:widowControl/>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序号</w:t>
            </w:r>
          </w:p>
        </w:tc>
        <w:tc>
          <w:tcPr>
            <w:tcW w:w="2340" w:type="dxa"/>
            <w:vAlign w:val="center"/>
          </w:tcPr>
          <w:p>
            <w:pPr>
              <w:widowControl/>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风险点内容</w:t>
            </w:r>
          </w:p>
        </w:tc>
        <w:tc>
          <w:tcPr>
            <w:tcW w:w="1620" w:type="dxa"/>
            <w:vAlign w:val="center"/>
          </w:tcPr>
          <w:p>
            <w:pPr>
              <w:widowControl/>
              <w:spacing w:line="560" w:lineRule="exact"/>
              <w:rPr>
                <w:rFonts w:hint="eastAsia" w:ascii="仿宋_GB2312" w:eastAsia="仿宋_GB2312"/>
                <w:color w:val="000000"/>
                <w:sz w:val="24"/>
                <w:szCs w:val="24"/>
              </w:rPr>
            </w:pPr>
            <w:r>
              <w:rPr>
                <w:rFonts w:hint="eastAsia" w:ascii="仿宋_GB2312" w:eastAsia="仿宋_GB2312"/>
                <w:color w:val="000000"/>
                <w:sz w:val="24"/>
                <w:szCs w:val="24"/>
              </w:rPr>
              <w:t>风险等级</w:t>
            </w:r>
          </w:p>
        </w:tc>
        <w:tc>
          <w:tcPr>
            <w:tcW w:w="2880" w:type="dxa"/>
            <w:vAlign w:val="center"/>
          </w:tcPr>
          <w:p>
            <w:pPr>
              <w:widowControl/>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岗位及责任人员</w:t>
            </w:r>
          </w:p>
        </w:tc>
        <w:tc>
          <w:tcPr>
            <w:tcW w:w="854" w:type="dxa"/>
            <w:vAlign w:val="center"/>
          </w:tcPr>
          <w:p>
            <w:pPr>
              <w:widowControl/>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center"/>
          </w:tcPr>
          <w:p>
            <w:pPr>
              <w:widowControl/>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1</w:t>
            </w: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center"/>
          </w:tcPr>
          <w:p>
            <w:pPr>
              <w:widowControl/>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2</w:t>
            </w: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center"/>
          </w:tcPr>
          <w:p>
            <w:pPr>
              <w:widowControl/>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3</w:t>
            </w: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center"/>
              <w:rPr>
                <w:rFonts w:hint="eastAsia" w:ascii="仿宋_GB2312" w:eastAsia="仿宋_GB2312"/>
                <w:color w:val="000000"/>
                <w:sz w:val="24"/>
                <w:szCs w:val="24"/>
              </w:rPr>
            </w:pPr>
            <w:r>
              <w:rPr>
                <w:rFonts w:ascii="仿宋_GB2312" w:eastAsia="仿宋_GB2312"/>
                <w:color w:val="000000"/>
                <w:sz w:val="24"/>
                <w:szCs w:val="24"/>
              </w:rPr>
              <w:t>…</w:t>
            </w: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top"/>
          </w:tcPr>
          <w:p>
            <w:pPr>
              <w:widowControl/>
              <w:spacing w:line="560" w:lineRule="exact"/>
              <w:jc w:val="left"/>
              <w:rPr>
                <w:rFonts w:hint="eastAsia" w:ascii="仿宋_GB2312" w:eastAsia="仿宋_GB2312"/>
                <w:color w:val="000000"/>
                <w:sz w:val="24"/>
                <w:szCs w:val="24"/>
              </w:rPr>
            </w:pPr>
          </w:p>
        </w:tc>
        <w:tc>
          <w:tcPr>
            <w:tcW w:w="2340" w:type="dxa"/>
            <w:vAlign w:val="top"/>
          </w:tcPr>
          <w:p>
            <w:pPr>
              <w:widowControl/>
              <w:spacing w:line="560" w:lineRule="exact"/>
              <w:jc w:val="left"/>
              <w:rPr>
                <w:rFonts w:hint="eastAsia" w:ascii="仿宋_GB2312" w:eastAsia="仿宋_GB2312"/>
                <w:color w:val="000000"/>
                <w:sz w:val="24"/>
                <w:szCs w:val="24"/>
              </w:rPr>
            </w:pPr>
          </w:p>
        </w:tc>
        <w:tc>
          <w:tcPr>
            <w:tcW w:w="1620" w:type="dxa"/>
            <w:vAlign w:val="top"/>
          </w:tcPr>
          <w:p>
            <w:pPr>
              <w:widowControl/>
              <w:spacing w:line="560" w:lineRule="exact"/>
              <w:jc w:val="left"/>
              <w:rPr>
                <w:rFonts w:hint="eastAsia" w:ascii="仿宋_GB2312" w:eastAsia="仿宋_GB2312"/>
                <w:color w:val="000000"/>
                <w:sz w:val="24"/>
                <w:szCs w:val="24"/>
              </w:rPr>
            </w:pPr>
          </w:p>
        </w:tc>
        <w:tc>
          <w:tcPr>
            <w:tcW w:w="2880" w:type="dxa"/>
            <w:vAlign w:val="top"/>
          </w:tcPr>
          <w:p>
            <w:pPr>
              <w:widowControl/>
              <w:spacing w:line="560" w:lineRule="exact"/>
              <w:jc w:val="left"/>
              <w:rPr>
                <w:rFonts w:hint="eastAsia" w:ascii="仿宋_GB2312" w:eastAsia="仿宋_GB2312"/>
                <w:color w:val="000000"/>
                <w:sz w:val="24"/>
                <w:szCs w:val="24"/>
              </w:rPr>
            </w:pPr>
          </w:p>
        </w:tc>
        <w:tc>
          <w:tcPr>
            <w:tcW w:w="854" w:type="dxa"/>
            <w:vAlign w:val="top"/>
          </w:tcPr>
          <w:p>
            <w:pPr>
              <w:widowControl/>
              <w:spacing w:line="560" w:lineRule="exact"/>
              <w:jc w:val="left"/>
              <w:rPr>
                <w:rFonts w:hint="eastAsia" w:ascii="仿宋_GB2312" w:eastAsia="仿宋_GB2312"/>
                <w:color w:val="000000"/>
                <w:sz w:val="24"/>
                <w:szCs w:val="24"/>
              </w:rPr>
            </w:pPr>
          </w:p>
        </w:tc>
      </w:tr>
    </w:tbl>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Arial Unicode MS">
    <w:altName w:val="宋体"/>
    <w:panose1 w:val="020B0604020202020204"/>
    <w:charset w:val="86"/>
    <w:family w:val="decorative"/>
    <w:pitch w:val="default"/>
    <w:sig w:usb0="00000000" w:usb1="00000000" w:usb2="0000003F" w:usb3="00000000" w:csb0="603F01FF" w:csb1="FFFF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B2586"/>
    <w:rsid w:val="57DB25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2016-04-18T13:23:00Z</dcterms:created>
  <dc:creator>wlzx</dc:creator>
  <cp:lastModifiedBy>wlzx</cp:lastModifiedBy>
  <dcterms:modified xsi:type="dcterms:W3CDTF">2016-04-18T13:23:19Z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